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0C" w:rsidRDefault="00BA470C" w:rsidP="00BA470C">
      <w:pPr>
        <w:pStyle w:val="3"/>
      </w:pPr>
      <w:r>
        <w:t>Потенційне застосування різниць з податку на прибуток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2649"/>
        <w:gridCol w:w="2922"/>
        <w:gridCol w:w="2109"/>
      </w:tblGrid>
      <w:tr w:rsidR="00BA470C" w:rsidTr="00BA47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  <w:jc w:val="center"/>
            </w:pPr>
            <w:r>
              <w:rPr>
                <w:b/>
                <w:bCs/>
              </w:rPr>
              <w:t>Зміст витрат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  <w:jc w:val="center"/>
            </w:pPr>
            <w:r>
              <w:rPr>
                <w:b/>
                <w:bCs/>
              </w:rPr>
              <w:t>Контрагент, на користь якого понесено витрати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  <w:jc w:val="center"/>
            </w:pPr>
            <w:r>
              <w:rPr>
                <w:b/>
                <w:bCs/>
              </w:rPr>
              <w:t>Податкова різниця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  <w:jc w:val="center"/>
            </w:pPr>
            <w:r>
              <w:rPr>
                <w:b/>
                <w:bCs/>
              </w:rPr>
              <w:t>Додаткові роз’яснення</w:t>
            </w:r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Негосподарські витрати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ПК не передбачено коригувань щодо витрат, які мають негосподарський характер, тобто здійснених не з метою отримання доходу. Виняток – операції, що підпадають під різниці, перелічені в розд. ІІІ, ХХ </w:t>
            </w:r>
            <w:hyperlink r:id="rId7" w:tgtFrame="_blank" w:history="1">
              <w:r>
                <w:rPr>
                  <w:rStyle w:val="a6"/>
                </w:rPr>
                <w:t>ПК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rPr>
                <w:i/>
                <w:iCs/>
              </w:rPr>
              <w:t>Див</w:t>
            </w:r>
            <w:r>
              <w:t>., приміром, ІПК ГУ ДФС у Харківській області від 04.03.19 р. № 875/ІПК/20-40-12-04-11</w:t>
            </w:r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Штрафні санкції, пені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Платник єдиного податку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Збільшується бухгалтерський фінрезультат на суму витрат від визнаних штрафів, пені, неустойок, нарахованих згідно з умовами договору (</w:t>
            </w:r>
            <w:hyperlink r:id="rId8" w:tgtFrame="_blank" w:history="1">
              <w:r>
                <w:rPr>
                  <w:rStyle w:val="a6"/>
                </w:rPr>
                <w:t>пп. 140.5.11 ПК</w:t>
              </w:r>
            </w:hyperlink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ІПК ОВПП ДФС від 20.09.17 р. № 2001/ІПК/28-10-01-03-11</w:t>
            </w:r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Платник податку на прибуток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НЕ застосовується пп. </w:t>
            </w:r>
            <w:hyperlink r:id="rId9" w:tgtFrame="_blank" w:history="1">
              <w:r>
                <w:rPr>
                  <w:rStyle w:val="a6"/>
                </w:rPr>
                <w:t>140.5.11 ПК</w:t>
              </w:r>
            </w:hyperlink>
            <w:r>
              <w:t>.</w:t>
            </w:r>
          </w:p>
          <w:p w:rsidR="00BA470C" w:rsidRDefault="00BA470C">
            <w:pPr>
              <w:pStyle w:val="a5"/>
            </w:pPr>
            <w:r>
              <w:t xml:space="preserve">Виняток: контрагент належить до категорії «нульовиків» за </w:t>
            </w:r>
            <w:hyperlink r:id="rId10" w:tgtFrame="_blank" w:history="1">
              <w:r>
                <w:rPr>
                  <w:rStyle w:val="a6"/>
                </w:rPr>
                <w:t>п. 44 підрозд. 4 розд. ХХ ПК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ІПК ДПСУ від 11.10.19 р. № 741/6/99-00-07-02-02-15/ІПК;</w:t>
            </w:r>
          </w:p>
          <w:p w:rsidR="00BA470C" w:rsidRDefault="00BA470C">
            <w:pPr>
              <w:pStyle w:val="a5"/>
            </w:pPr>
            <w:hyperlink r:id="rId11" w:tgtFrame="_blank" w:history="1">
              <w:r>
                <w:rPr>
                  <w:rStyle w:val="a6"/>
                </w:rPr>
                <w:t>ІПК ДФСУ від 06.03.19 р. № 923/6/99-99-15-02-02-15/ІПК</w:t>
              </w:r>
            </w:hyperlink>
            <w:r>
              <w:t>;</w:t>
            </w:r>
          </w:p>
          <w:p w:rsidR="00BA470C" w:rsidRDefault="00BA470C">
            <w:pPr>
              <w:pStyle w:val="a5"/>
            </w:pPr>
            <w:r>
              <w:t>ІПК ДФСУ від 19.07.18 р. № 3172/6/99-99-15-02-02-15/ІПК</w:t>
            </w:r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Фізична особа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НЕ застосовується </w:t>
            </w:r>
            <w:hyperlink r:id="rId12" w:tgtFrame="_blank" w:history="1">
              <w:r>
                <w:rPr>
                  <w:rStyle w:val="a6"/>
                </w:rPr>
                <w:t>пп. 140.5.11 ПК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hyperlink r:id="rId13" w:tgtFrame="_blank" w:history="1">
              <w:r>
                <w:rPr>
                  <w:rStyle w:val="a6"/>
                </w:rPr>
                <w:t>ІПК ДФСУ від 02.11.18 р. № 4667/6/99-99-15-02-02-15/ІПК</w:t>
              </w:r>
            </w:hyperlink>
            <w:r>
              <w:t>;</w:t>
            </w:r>
          </w:p>
          <w:p w:rsidR="00BA470C" w:rsidRDefault="00BA470C">
            <w:pPr>
              <w:pStyle w:val="a5"/>
            </w:pPr>
            <w:r>
              <w:t>ІПК ОВПП ДФС від 20.09.17 р. № 2001/ІПК/28-10-01-03-11</w:t>
            </w:r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Нерезидент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Якщо сплачується податок на репатріацію з сум нарахованих на користь нерезидента штрафів, пені, неустойок, то різниця за </w:t>
            </w:r>
            <w:hyperlink r:id="rId14" w:tgtFrame="_blank" w:history="1">
              <w:r>
                <w:rPr>
                  <w:rStyle w:val="a6"/>
                </w:rPr>
                <w:t>пп. 140.5.11 ПК</w:t>
              </w:r>
            </w:hyperlink>
            <w:r>
              <w:t xml:space="preserve"> для збільшення фінрезультату до оподаткування не виникає.</w:t>
            </w:r>
          </w:p>
          <w:p w:rsidR="00BA470C" w:rsidRDefault="00BA470C">
            <w:pPr>
              <w:pStyle w:val="a5"/>
            </w:pPr>
            <w:r>
              <w:t xml:space="preserve">Якщо при виплаті штрафів, пені, неустойок нерезиденту застосовуються правила міжнародного договору в частині звільнення від обкладення податком на прибуток такої виплати, то платник податку — резидент має збільшити фінрезультат до оподаткування на суму таких штрафів, пені, неустойок відповідно до </w:t>
            </w:r>
            <w:hyperlink r:id="rId15" w:tgtFrame="_blank" w:history="1">
              <w:r>
                <w:rPr>
                  <w:rStyle w:val="a6"/>
                </w:rPr>
                <w:t>пп. 140.5.11 ПК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rPr>
                <w:i/>
                <w:iCs/>
              </w:rPr>
              <w:lastRenderedPageBreak/>
              <w:t>Див</w:t>
            </w:r>
            <w:r>
              <w:t xml:space="preserve">. ІПК ГУ ДПС у Черкаській області від 13.03.20 р. № </w:t>
            </w:r>
            <w:r>
              <w:lastRenderedPageBreak/>
              <w:t>1043/ІПК/23-00-04-0413;</w:t>
            </w:r>
          </w:p>
          <w:p w:rsidR="00BA470C" w:rsidRDefault="00BA470C">
            <w:pPr>
              <w:pStyle w:val="a5"/>
            </w:pPr>
            <w:r>
              <w:t>ІПК ДФСУ від 09.09.19 р. № 83/6/99-00-07-02-02-15/ІПК;</w:t>
            </w:r>
          </w:p>
          <w:p w:rsidR="00BA470C" w:rsidRDefault="00BA470C">
            <w:pPr>
              <w:pStyle w:val="a5"/>
            </w:pPr>
            <w:r>
              <w:t>ІПК ДФСУ від 19.08.19 р. № 3863/6/99-99-15-02-02-15/ІПК</w:t>
            </w:r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Державні органи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НЕ застосовується </w:t>
            </w:r>
            <w:hyperlink r:id="rId16" w:tgtFrame="_blank" w:history="1">
              <w:r>
                <w:rPr>
                  <w:rStyle w:val="a6"/>
                </w:rPr>
                <w:t>пп. 140.5.11 ПК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rPr>
                <w:i/>
                <w:iCs/>
              </w:rPr>
              <w:t>Штрафи від податкових органів:</w:t>
            </w:r>
          </w:p>
          <w:p w:rsidR="00BA470C" w:rsidRDefault="00BA470C" w:rsidP="00BA470C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>
              <w:t>ІПК ДПСУ від 12.12.19 р. № 1866/6/99-00-07-02-02-15/ІПК;</w:t>
            </w:r>
          </w:p>
          <w:p w:rsidR="00BA470C" w:rsidRDefault="00BA470C" w:rsidP="00BA470C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hyperlink r:id="rId17" w:tgtFrame="_blank" w:history="1">
              <w:r>
                <w:rPr>
                  <w:rStyle w:val="a6"/>
                </w:rPr>
                <w:t>ІПК ГУ ДФС у Донецькій області від 09.08.19 р. № 3713/ІПК/05-99-12-03-08</w:t>
              </w:r>
            </w:hyperlink>
            <w:r>
              <w:t>;</w:t>
            </w:r>
          </w:p>
          <w:p w:rsidR="00BA470C" w:rsidRDefault="00BA470C">
            <w:pPr>
              <w:pStyle w:val="a5"/>
            </w:pPr>
            <w:r>
              <w:rPr>
                <w:i/>
                <w:iCs/>
              </w:rPr>
              <w:t xml:space="preserve">Штрафи від прикордонної служби: </w:t>
            </w:r>
          </w:p>
          <w:p w:rsidR="00BA470C" w:rsidRDefault="00BA470C" w:rsidP="00BA470C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ІПК ДФСУ від 26.02.19 р. № 748/6/99-99-15-02-02-15/ІПК</w:t>
            </w:r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lastRenderedPageBreak/>
              <w:t>Безоплатні передання</w:t>
            </w:r>
          </w:p>
          <w:p w:rsidR="00BA470C" w:rsidRDefault="00BA47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 w:rsidP="00BA47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Громадські об’єднання;</w:t>
            </w:r>
          </w:p>
          <w:p w:rsidR="00BA470C" w:rsidRDefault="00BA470C" w:rsidP="00BA47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Благодійні організації;</w:t>
            </w:r>
          </w:p>
          <w:p w:rsidR="00BA470C" w:rsidRDefault="00BA470C" w:rsidP="00BA47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МОЗ України та/або інші центральні органи виконавчої влади, які реалізують держполітику у сферах санітарного та епідемічного благополуччя населення, контролю якості та безпеки лікарських засобів, протидії ВІЛ-інфекції/СНІДу та іншим соціально небезпечним захворюванням;</w:t>
            </w:r>
          </w:p>
          <w:p w:rsidR="00BA470C" w:rsidRDefault="00BA470C" w:rsidP="00BA47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Особа, уповноважена на здійснення закупівель у сфері охорони здоров’я;</w:t>
            </w:r>
          </w:p>
          <w:p w:rsidR="00BA470C" w:rsidRDefault="00BA470C" w:rsidP="00BA47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Заклади охорони здоров’я державної та/або комунальної власності;</w:t>
            </w:r>
          </w:p>
          <w:p w:rsidR="00BA470C" w:rsidRDefault="00BA470C" w:rsidP="00BA470C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>Структурні підрозділи з питань охорони здоров’я обласних, Київської та Севастопольської міських держадміністрацій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У 2020 році </w:t>
            </w:r>
            <w:hyperlink r:id="rId18" w:tgtFrame="_blank" w:history="1">
              <w:r>
                <w:rPr>
                  <w:rStyle w:val="a6"/>
                </w:rPr>
                <w:t>пункт 51</w:t>
              </w:r>
              <w:r>
                <w:rPr>
                  <w:rStyle w:val="a6"/>
                  <w:vertAlign w:val="superscript"/>
                </w:rPr>
                <w:t>1</w:t>
              </w:r>
              <w:r>
                <w:rPr>
                  <w:rStyle w:val="a6"/>
                </w:rPr>
                <w:t xml:space="preserve"> ПК </w:t>
              </w:r>
            </w:hyperlink>
            <w:r>
              <w:t>звільняє від коригування фінрезультату до оподаткування на вартість безоплатно переданих товарів/послуг таким особам в разі виконання наступних умов:</w:t>
            </w:r>
          </w:p>
          <w:p w:rsidR="00BA470C" w:rsidRDefault="00BA470C">
            <w:pPr>
              <w:pStyle w:val="a5"/>
            </w:pPr>
            <w:r>
              <w:t>По-перше, такі особи внесено до Реєстру неприбутківців.</w:t>
            </w:r>
          </w:p>
          <w:p w:rsidR="00BA470C" w:rsidRDefault="00BA470C">
            <w:pPr>
              <w:pStyle w:val="a5"/>
            </w:pPr>
            <w:r>
              <w:t>По-друге, це коригування у 2020 році не застосовуватимуть до безкоштовно перерахованих (переданих) сум коштів або вартості таких товарів: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лікарських засобів для надання медичної допомоги хворим;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дезінфекційних засобів і антисептиків;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медичного обладнання;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засобів індивідуального захисту;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медичних виробів для скринінгу хворих;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розхідних матеріалів для надання медичної допомоги;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медичних виробів;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лабораторного обладнання;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розхідних матеріалів;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реагентів для лабораторних досліджень; 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 xml:space="preserve">медичних виробів, лабораторного обладнання, розхідних </w:t>
            </w:r>
            <w:r>
              <w:lastRenderedPageBreak/>
              <w:t>матеріалів для інфекційних відділень, патологоанатомічних відділень тощо;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засобів особистої гігієни;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продуктів харчування;</w:t>
            </w:r>
          </w:p>
          <w:p w:rsidR="00BA470C" w:rsidRDefault="00BA470C" w:rsidP="00BA470C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>
              <w:t>товарів за переліком, що визначається Кабміном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/>
        </w:tc>
      </w:tr>
      <w:tr w:rsidR="00BA470C" w:rsidTr="00BA470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Медичні заклади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Медзаклад передусім слід перевірити на наявність у Реєстрі неприбутківців. Якщо його немає в Реєстрі або ж на них не поширюється пільга із </w:t>
            </w:r>
            <w:hyperlink r:id="rId19" w:tgtFrame="_blank" w:history="1">
              <w:r>
                <w:rPr>
                  <w:rStyle w:val="a6"/>
                </w:rPr>
                <w:t>п. 51</w:t>
              </w:r>
              <w:r>
                <w:rPr>
                  <w:rStyle w:val="a6"/>
                  <w:vertAlign w:val="superscript"/>
                </w:rPr>
                <w:t>1</w:t>
              </w:r>
              <w:r>
                <w:rPr>
                  <w:rStyle w:val="a6"/>
                </w:rPr>
                <w:t xml:space="preserve"> ПК</w:t>
              </w:r>
            </w:hyperlink>
            <w:r>
              <w:t xml:space="preserve">, то застосовуватиметься коригування за </w:t>
            </w:r>
            <w:hyperlink r:id="rId20" w:tgtFrame="_blank" w:history="1">
              <w:r>
                <w:rPr>
                  <w:rStyle w:val="a6"/>
                </w:rPr>
                <w:t>пп. 140.5.9 ПК</w:t>
              </w:r>
            </w:hyperlink>
            <w:r>
              <w:t xml:space="preserve">. Тобто фінрезультат потрібно буде збільшити на суму коштів або вартість товарів, виконаних робіт, наданих послуг, безоплатно перерахованих (переданих) </w:t>
            </w:r>
            <w:r>
              <w:rPr>
                <w:b/>
                <w:bCs/>
              </w:rPr>
              <w:t>протягом звітного року</w:t>
            </w:r>
            <w:r>
              <w:t xml:space="preserve"> неприбутківцю в розмірі, що перевищує 4 % оподатковуваного прибутку попереднього звітного року. Якщо протягом року перевищення немає, коригування не проводять.</w:t>
            </w:r>
          </w:p>
          <w:p w:rsidR="00BA470C" w:rsidRDefault="00BA470C">
            <w:pPr>
              <w:pStyle w:val="a5"/>
            </w:pPr>
            <w:r>
              <w:t xml:space="preserve">Якщо медзаклад не належить до неприбутківців, то безоплатне передання слід протестувати на необхідність застосування різниці за </w:t>
            </w:r>
            <w:hyperlink r:id="rId21" w:tgtFrame="_blank" w:history="1">
              <w:r>
                <w:rPr>
                  <w:rStyle w:val="a6"/>
                </w:rPr>
                <w:t>пп. 140.5.10 ПК</w:t>
              </w:r>
            </w:hyperlink>
            <w:r>
              <w:t xml:space="preserve"> (див. нижче).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rPr>
                <w:i/>
                <w:iCs/>
              </w:rPr>
              <w:t>Див</w:t>
            </w:r>
            <w:r>
              <w:t>. ІПК ДПСУ від 29.11.19 р. № 1649/6/99-00-07-02-02-15/ІПК;</w:t>
            </w:r>
          </w:p>
          <w:p w:rsidR="00BA470C" w:rsidRDefault="00BA470C">
            <w:pPr>
              <w:pStyle w:val="a5"/>
            </w:pPr>
            <w:r>
              <w:t>ІПК ДФСУ від 12.09.19 р. № 148/6/99-00-07-02-02-15/ІПК;</w:t>
            </w:r>
          </w:p>
          <w:p w:rsidR="00BA470C" w:rsidRDefault="00BA470C">
            <w:pPr>
              <w:pStyle w:val="a5"/>
            </w:pPr>
            <w:r>
              <w:t>ІПК ДФСУ від 26.04.19 р. № 1854/6/99-99-15-02-02-15/ІПК</w:t>
            </w:r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Платники податку на прибуток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ПК не передбачено коригування фінрезультату до оподаткування на суму </w:t>
            </w:r>
            <w:r>
              <w:lastRenderedPageBreak/>
              <w:t>безповоротної фінансової допомоги платнику податку на прибуток на загальних підставах. Такі операції відображаються за правилами бухгалтерського обліку.</w:t>
            </w:r>
          </w:p>
          <w:p w:rsidR="00BA470C" w:rsidRDefault="00BA470C">
            <w:pPr>
              <w:pStyle w:val="a5"/>
            </w:pPr>
            <w:r>
              <w:t xml:space="preserve">Виняток – якщо отримувач допомоги застосовує ставку 0 % податку на прибуток. У такому разі застосовуватиметься коригування за </w:t>
            </w:r>
            <w:hyperlink r:id="rId22" w:tgtFrame="_blank" w:history="1">
              <w:r>
                <w:rPr>
                  <w:rStyle w:val="a6"/>
                </w:rPr>
                <w:t>пп. 140.5.10 ПК</w:t>
              </w:r>
            </w:hyperlink>
            <w:r>
              <w:t>: бухгалтерський фінрезультат слід збільшити на суму перерахованої безповоротної фінансової допомоги (вартості безоплатно наданих товарів, робіт, послуг)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rPr>
                <w:i/>
                <w:iCs/>
              </w:rPr>
              <w:lastRenderedPageBreak/>
              <w:t>Див</w:t>
            </w:r>
            <w:r>
              <w:t xml:space="preserve">. ІПК ДПСУ від 31.01.20 р. № </w:t>
            </w:r>
            <w:r>
              <w:lastRenderedPageBreak/>
              <w:t>418/6/99-00-07-02-02-06/ІПК;</w:t>
            </w:r>
          </w:p>
          <w:p w:rsidR="00BA470C" w:rsidRDefault="00BA470C">
            <w:pPr>
              <w:pStyle w:val="a5"/>
            </w:pPr>
            <w:r>
              <w:t>ІПК ДПСУ від 17.01.20 р. № 165/6/99-00-07-02-02-06/ІПК;</w:t>
            </w:r>
          </w:p>
          <w:p w:rsidR="00BA470C" w:rsidRDefault="00BA470C">
            <w:pPr>
              <w:pStyle w:val="a5"/>
            </w:pPr>
            <w:r>
              <w:t>ІПК ДПСУ від 16.01.20 р. № 149/6/99-00-07-02-02-06/ІПК</w:t>
            </w:r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Платники єдиного податку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Збільшується фінрезультат до оподаткування на суму перерахованої безповоротної фінансової допомоги (вартості безоплатно наданих товарів, робіт, послуг) згідно з </w:t>
            </w:r>
            <w:hyperlink r:id="rId23" w:tgtFrame="_blank" w:history="1">
              <w:r>
                <w:rPr>
                  <w:rStyle w:val="a6"/>
                </w:rPr>
                <w:t>пп. 140.5.10 ПК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rPr>
                <w:i/>
                <w:iCs/>
              </w:rPr>
              <w:t>Див</w:t>
            </w:r>
            <w:r>
              <w:t xml:space="preserve">. </w:t>
            </w:r>
            <w:hyperlink r:id="rId24" w:tgtFrame="_blank" w:history="1">
              <w:r>
                <w:rPr>
                  <w:rStyle w:val="a6"/>
                </w:rPr>
                <w:t>ІПК ДФСУ від 02.07.19 р. № 3039/6/99-99-15-02-02-15/ІПК</w:t>
              </w:r>
            </w:hyperlink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Фізичні особи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ПК не передбачено коригування фінрезультату на суму безповоротної фіндопомоги, наданої фізичним особам (за винятком ФОП-єдинника). Тобто </w:t>
            </w:r>
            <w:hyperlink r:id="rId25" w:tgtFrame="_blank" w:history="1">
              <w:r>
                <w:rPr>
                  <w:rStyle w:val="a6"/>
                </w:rPr>
                <w:t>пп. 140.5.10 ПК</w:t>
              </w:r>
            </w:hyperlink>
            <w:r>
              <w:t xml:space="preserve"> не діє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rPr>
                <w:i/>
                <w:iCs/>
              </w:rPr>
              <w:t>Див</w:t>
            </w:r>
            <w:r>
              <w:t>. ІПК ДПСУ від 16.01.20 р. № 142/6/99-00-07-02-02-06/ІПК;</w:t>
            </w:r>
          </w:p>
          <w:p w:rsidR="00BA470C" w:rsidRDefault="00BA470C">
            <w:pPr>
              <w:pStyle w:val="a5"/>
            </w:pPr>
            <w:r>
              <w:t>ІПК ДПСУ від 26.09.19 р. № 416/6/99-00-07-02-02-15/ІПК;</w:t>
            </w:r>
          </w:p>
          <w:p w:rsidR="00BA470C" w:rsidRDefault="00BA470C">
            <w:pPr>
              <w:pStyle w:val="a5"/>
            </w:pPr>
            <w:r>
              <w:t>ІПК ДФСУ від 22.07.19 р. № 3392/6/99-99-15-02-02-15/ІПК</w:t>
            </w:r>
          </w:p>
        </w:tc>
      </w:tr>
      <w:tr w:rsidR="00BA470C" w:rsidTr="00BA470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>Амортизація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t xml:space="preserve">Отже, податкова амортизація основного засобу, який під час вимушеного простою не призначено для використання в господарській діяльності, </w:t>
            </w:r>
            <w:r>
              <w:lastRenderedPageBreak/>
              <w:t xml:space="preserve">не нараховується згідно з вимогами </w:t>
            </w:r>
            <w:hyperlink r:id="rId26" w:tgtFrame="_blank" w:history="1">
              <w:r>
                <w:rPr>
                  <w:rStyle w:val="a6"/>
                </w:rPr>
                <w:t>пп. 138.3 ПК</w:t>
              </w:r>
            </w:hyperlink>
            <w:r>
              <w:t>.</w:t>
            </w:r>
          </w:p>
          <w:p w:rsidR="00BA470C" w:rsidRDefault="00BA470C">
            <w:pPr>
              <w:pStyle w:val="a5"/>
            </w:pPr>
            <w:r>
              <w:t>Більш докладніше про наслідки – у матеріалі «Амортизація під час карантину: податкові наслідки вимушеного простою».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470C" w:rsidRDefault="00BA470C">
            <w:pPr>
              <w:pStyle w:val="a5"/>
            </w:pPr>
            <w:r>
              <w:rPr>
                <w:i/>
                <w:iCs/>
              </w:rPr>
              <w:lastRenderedPageBreak/>
              <w:t xml:space="preserve">Див. </w:t>
            </w:r>
            <w:hyperlink r:id="rId27" w:tgtFrame="_blank" w:history="1">
              <w:r>
                <w:rPr>
                  <w:rStyle w:val="a6"/>
                </w:rPr>
                <w:t>ІПК ДФСУ від 19.03.18 р. № 1080/6/99-99-15-02-02-15/ІПК</w:t>
              </w:r>
            </w:hyperlink>
          </w:p>
        </w:tc>
      </w:tr>
    </w:tbl>
    <w:p w:rsidR="00696FE8" w:rsidRPr="00BA470C" w:rsidRDefault="00696FE8" w:rsidP="00BA470C">
      <w:bookmarkStart w:id="0" w:name="_GoBack"/>
      <w:bookmarkEnd w:id="0"/>
    </w:p>
    <w:sectPr w:rsidR="00696FE8" w:rsidRPr="00BA470C" w:rsidSect="00D55822">
      <w:footerReference w:type="default" r:id="rId28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BC0" w:rsidRDefault="00E83BC0">
      <w:r>
        <w:separator/>
      </w:r>
    </w:p>
  </w:endnote>
  <w:endnote w:type="continuationSeparator" w:id="0">
    <w:p w:rsidR="00E83BC0" w:rsidRDefault="00E8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28345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BC0" w:rsidRDefault="00E83BC0">
      <w:r>
        <w:separator/>
      </w:r>
    </w:p>
  </w:footnote>
  <w:footnote w:type="continuationSeparator" w:id="0">
    <w:p w:rsidR="00E83BC0" w:rsidRDefault="00E8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FA0"/>
    <w:multiLevelType w:val="multilevel"/>
    <w:tmpl w:val="C364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3198D"/>
    <w:multiLevelType w:val="multilevel"/>
    <w:tmpl w:val="B2DA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A55DA"/>
    <w:multiLevelType w:val="multilevel"/>
    <w:tmpl w:val="C034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77DFB"/>
    <w:multiLevelType w:val="multilevel"/>
    <w:tmpl w:val="CDAC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D5A0B"/>
    <w:multiLevelType w:val="multilevel"/>
    <w:tmpl w:val="41E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077EB"/>
    <w:multiLevelType w:val="multilevel"/>
    <w:tmpl w:val="9EA0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47F70"/>
    <w:multiLevelType w:val="multilevel"/>
    <w:tmpl w:val="7734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76937"/>
    <w:multiLevelType w:val="multilevel"/>
    <w:tmpl w:val="7C2A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283453"/>
    <w:rsid w:val="002B2945"/>
    <w:rsid w:val="003F1FB7"/>
    <w:rsid w:val="004B05A7"/>
    <w:rsid w:val="005C36BE"/>
    <w:rsid w:val="00696FE8"/>
    <w:rsid w:val="008A5C1C"/>
    <w:rsid w:val="00942046"/>
    <w:rsid w:val="00BA470C"/>
    <w:rsid w:val="00CB49AA"/>
    <w:rsid w:val="00D55822"/>
    <w:rsid w:val="00DE1267"/>
    <w:rsid w:val="00E83BC0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895A99-2974-4709-A315-2BB621F3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834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uiPriority w:val="9"/>
    <w:rsid w:val="00283453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83453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283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uteka.ua/doc/podatkovij-kodeks-ukraini/ROZDIL-III-PODATOK-NA-PRIBUTOK-PIDPRIYEMSTV" TargetMode="External"/><Relationship Id="rId13" Type="http://schemas.openxmlformats.org/officeDocument/2006/relationships/hyperlink" Target="https://uteka.ua/ua/publication/news-14-ezhednevnyj-buxgalterskij-obzor-39-kompensiruem-rasxody-na-vozvrat-tovarov-priobretennyx-v-internete-voznikayut-li-korrektiruyushhie-raznicy" TargetMode="External"/><Relationship Id="rId18" Type="http://schemas.openxmlformats.org/officeDocument/2006/relationships/hyperlink" Target="https://pravo.uteka.ua/doc/podatkovij-kodeks-ukraini/ROZDIL-III-PODATOK-NA-PRIBUTOK-PIDPRIYEMSTV" TargetMode="External"/><Relationship Id="rId26" Type="http://schemas.openxmlformats.org/officeDocument/2006/relationships/hyperlink" Target="https://pravo.uteka.ua/doc/podatkovij-kodeks-ukraini/ROZDIL-III-PODATOK-NA-PRIBUTOK-PIDPRIYEMST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.uteka.ua/doc/podatkovij-kodeks-ukraini/ROZDIL-III-PODATOK-NA-PRIBUTOK-PIDPRIYEMSTV" TargetMode="External"/><Relationship Id="rId7" Type="http://schemas.openxmlformats.org/officeDocument/2006/relationships/hyperlink" Target="https://pravo.uteka.ua/doc/podatkovij-kodeks-ukraini/ROZDIL-III-PODATOK-NA-PRIBUTOK-PIDPRIYEMSTV" TargetMode="External"/><Relationship Id="rId12" Type="http://schemas.openxmlformats.org/officeDocument/2006/relationships/hyperlink" Target="https://pravo.uteka.ua/doc/podatkovij-kodeks-ukraini/ROZDIL-III-PODATOK-NA-PRIBUTOK-PIDPRIYEMSTV" TargetMode="External"/><Relationship Id="rId17" Type="http://schemas.openxmlformats.org/officeDocument/2006/relationships/hyperlink" Target="https://uteka.ua/ua/publication/news-14-ezhednevnyj-buxgalterskij-obzor-39-kak-vliyaet-na-finrezultat-summa-nalogovyx-shtrafov" TargetMode="External"/><Relationship Id="rId25" Type="http://schemas.openxmlformats.org/officeDocument/2006/relationships/hyperlink" Target="https://pravo.uteka.ua/doc/podatkovij-kodeks-ukraini/ROZDIL-III-PODATOK-NA-PRIBUTOK-PIDPRIYEMSTV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.uteka.ua/doc/podatkovij-kodeks-ukraini/ROZDIL-III-PODATOK-NA-PRIBUTOK-PIDPRIYEMSTV" TargetMode="External"/><Relationship Id="rId20" Type="http://schemas.openxmlformats.org/officeDocument/2006/relationships/hyperlink" Target="https://pravo.uteka.ua/doc/podatkovij-kodeks-ukraini/ROZDIL-III-PODATOK-NA-PRIBUTOK-PIDPRIYEMSTV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teka.ua/ua/publication/news-14-ezhednevnyj-buxgalterskij-obzor-39-postupleniya-za-narushenie-xozobyazatelstva-pri-kakix-usloviyax-korrektiruetsya-finrezultat" TargetMode="External"/><Relationship Id="rId24" Type="http://schemas.openxmlformats.org/officeDocument/2006/relationships/hyperlink" Target="https://uteka.ua/ua/publication/news-14-ezhednevnyj-buxgalterskij-obzor-39-darenie-nedvizhimosti-fizlicu-kakie-nalogovye-posledstviya-u-yurlica-daritely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.uteka.ua/doc/podatkovij-kodeks-ukraini/ROZDIL-III-PODATOK-NA-PRIBUTOK-PIDPRIYEMSTV" TargetMode="External"/><Relationship Id="rId23" Type="http://schemas.openxmlformats.org/officeDocument/2006/relationships/hyperlink" Target="https://pravo.uteka.ua/doc/podatkovij-kodeks-ukraini/ROZDIL-III-PODATOK-NA-PRIBUTOK-PIDPRIYEMSTV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pravo.uteka.ua/doc/podatkovij-kodeks-ukraini/ROZDIL-XX-PEREXIDNI-POLOZHENNYA" TargetMode="External"/><Relationship Id="rId19" Type="http://schemas.openxmlformats.org/officeDocument/2006/relationships/hyperlink" Target="http://pravo.uteka.ua/doc/podatkovij-kodeks-ukraini/ROZDIL-III-PODATOK-NA-PRIBUTOK-PIDPRIYEMS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uteka.ua/doc/podatkovij-kodeks-ukraini/ROZDIL-III-PODATOK-NA-PRIBUTOK-PIDPRIYEMSTV" TargetMode="External"/><Relationship Id="rId14" Type="http://schemas.openxmlformats.org/officeDocument/2006/relationships/hyperlink" Target="https://pravo.uteka.ua/doc/podatkovij-kodeks-ukraini/ROZDIL-III-PODATOK-NA-PRIBUTOK-PIDPRIYEMSTV" TargetMode="External"/><Relationship Id="rId22" Type="http://schemas.openxmlformats.org/officeDocument/2006/relationships/hyperlink" Target="https://pravo.uteka.ua/doc/podatkovij-kodeks-ukraini/ROZDIL-III-PODATOK-NA-PRIBUTOK-PIDPRIYEMSTV" TargetMode="External"/><Relationship Id="rId27" Type="http://schemas.openxmlformats.org/officeDocument/2006/relationships/hyperlink" Target="https://uteka.ua/ua/publication/news-14-ezhednevnyj-buxgalterskij-obzor-39-remont-proizvodstvennyx-pomeshhenij-vo-vremya-vynuzhdennogo-prostoya-korrektirovat-li-finrezultat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2020-04-08T09:59:00Z</dcterms:created>
  <dcterms:modified xsi:type="dcterms:W3CDTF">2020-04-08T09:59:00Z</dcterms:modified>
</cp:coreProperties>
</file>