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35" w:rsidRPr="002A5235" w:rsidRDefault="002A5235" w:rsidP="002A5235">
      <w:pPr>
        <w:pStyle w:val="a3"/>
        <w:jc w:val="center"/>
        <w:rPr>
          <w:lang w:val="en-US"/>
        </w:rPr>
      </w:pPr>
    </w:p>
    <w:p w:rsidR="002A5235" w:rsidRDefault="002A5235" w:rsidP="002A5235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НАЦІОНАЛЬНА КОМІСІЯ, ЩО ЗДІЙСНЮЄ ДЕРЖАВНЕ РЕГУЛЮВАННЯ У СФЕРІ РИНКІВ ФІНАНСОВИХ ПОСЛУГ</w:t>
      </w:r>
    </w:p>
    <w:p w:rsidR="002A5235" w:rsidRDefault="002A5235" w:rsidP="002A5235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РОЗПОРЯДЖЕННЯ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2A5235" w:rsidTr="002A5235">
        <w:trPr>
          <w:tblCellSpacing w:w="22" w:type="dxa"/>
        </w:trPr>
        <w:tc>
          <w:tcPr>
            <w:tcW w:w="1750" w:type="pct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23.02.2016</w:t>
            </w:r>
          </w:p>
        </w:tc>
        <w:tc>
          <w:tcPr>
            <w:tcW w:w="1500" w:type="pct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N 396</w:t>
            </w:r>
          </w:p>
        </w:tc>
      </w:tr>
    </w:tbl>
    <w:p w:rsidR="002A5235" w:rsidRDefault="002A5235" w:rsidP="002A523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2A5235" w:rsidRDefault="002A5235" w:rsidP="002A5235">
      <w:pPr>
        <w:pStyle w:val="a3"/>
        <w:jc w:val="center"/>
      </w:pPr>
      <w:r>
        <w:rPr>
          <w:b/>
          <w:bCs/>
        </w:rPr>
        <w:t>Зареєстровано в Міністерстві юстиції України</w:t>
      </w:r>
      <w:r>
        <w:br/>
      </w:r>
      <w:r>
        <w:rPr>
          <w:b/>
          <w:bCs/>
        </w:rPr>
        <w:t>21 березня 2016 р. за N 417/28547</w:t>
      </w:r>
    </w:p>
    <w:p w:rsidR="002A5235" w:rsidRDefault="002A5235" w:rsidP="002A5235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Про затвердження Положення про обов'язкові критерії та нормативи достатності, диверсифікованості та якості активів страховика та визнання такими, що втратили чинність, деяких нормативно-правових актів Державної комісії з регулювання ринків фінансових послуг України</w:t>
      </w:r>
    </w:p>
    <w:p w:rsidR="002A5235" w:rsidRDefault="002A5235" w:rsidP="002A5235">
      <w:pPr>
        <w:pStyle w:val="a3"/>
        <w:jc w:val="both"/>
      </w:pPr>
      <w:r>
        <w:t xml:space="preserve">Відповідно до </w:t>
      </w:r>
      <w:r>
        <w:rPr>
          <w:color w:val="0000FF"/>
        </w:rPr>
        <w:t>статей 30</w:t>
      </w:r>
      <w:r>
        <w:t xml:space="preserve">, </w:t>
      </w:r>
      <w:r>
        <w:rPr>
          <w:color w:val="0000FF"/>
        </w:rPr>
        <w:t>31</w:t>
      </w:r>
      <w:r>
        <w:t xml:space="preserve"> та </w:t>
      </w:r>
      <w:r>
        <w:rPr>
          <w:color w:val="0000FF"/>
        </w:rPr>
        <w:t>36 Закону України "Про страхування"</w:t>
      </w:r>
      <w:r>
        <w:t xml:space="preserve">, </w:t>
      </w:r>
      <w:r>
        <w:rPr>
          <w:color w:val="0000FF"/>
        </w:rPr>
        <w:t>статей 27 - 29 Закону України "Про фінансові послуги та державне регулювання ринків фінансових послуг"</w:t>
      </w:r>
      <w:r>
        <w:t xml:space="preserve"> та </w:t>
      </w:r>
      <w:r>
        <w:rPr>
          <w:color w:val="0000FF"/>
        </w:rPr>
        <w:t>підпунктів 18</w:t>
      </w:r>
      <w:r>
        <w:t xml:space="preserve">, </w:t>
      </w:r>
      <w:r>
        <w:rPr>
          <w:color w:val="0000FF"/>
        </w:rPr>
        <w:t>56 пункту 4 Положення про Національну комісію, що здійснює державне регулювання у сфері ринків фінансових послуг</w:t>
      </w:r>
      <w:r>
        <w:t xml:space="preserve">, затвердженого Указом Президента України від 23 листопада 2011 року N 1070, Національна комісія, що здійснює державне регулювання у сфері ринків фінансових послуг, </w:t>
      </w:r>
    </w:p>
    <w:p w:rsidR="002A5235" w:rsidRDefault="002A5235" w:rsidP="002A5235">
      <w:pPr>
        <w:pStyle w:val="a3"/>
        <w:jc w:val="both"/>
      </w:pPr>
      <w:r>
        <w:rPr>
          <w:b/>
          <w:bCs/>
        </w:rPr>
        <w:t>ПОСТАНОВИЛА:</w:t>
      </w:r>
    </w:p>
    <w:p w:rsidR="002A5235" w:rsidRDefault="002A5235" w:rsidP="002A5235">
      <w:pPr>
        <w:pStyle w:val="a3"/>
        <w:jc w:val="both"/>
      </w:pPr>
      <w:r>
        <w:t>1. Затвердити Положення про обов'язкові критерії та нормативи достатності, диверсифікованості та якості активів страховика, що додається.</w:t>
      </w:r>
    </w:p>
    <w:p w:rsidR="002A5235" w:rsidRDefault="002A5235" w:rsidP="002A5235">
      <w:pPr>
        <w:pStyle w:val="a3"/>
        <w:jc w:val="both"/>
      </w:pPr>
      <w:r>
        <w:t>2. Визнати такими, що втратили чинність:</w:t>
      </w:r>
    </w:p>
    <w:p w:rsidR="002A5235" w:rsidRDefault="002A5235" w:rsidP="002A5235">
      <w:pPr>
        <w:pStyle w:val="a3"/>
        <w:jc w:val="both"/>
      </w:pPr>
      <w:r>
        <w:rPr>
          <w:color w:val="0000FF"/>
        </w:rPr>
        <w:t>розпорядження Державної комісії з регулювання ринків фінансових послуг України від 26 листопада 2004 року N 2875 "Про затвердження Правил розміщення страхових резервів із страхування життя"</w:t>
      </w:r>
      <w:r>
        <w:t>, зареєстроване в Міністерстві юстиції України 22 грудня 2004 року за N 1626/10225 (із змінами);</w:t>
      </w:r>
    </w:p>
    <w:p w:rsidR="002A5235" w:rsidRDefault="002A5235" w:rsidP="002A5235">
      <w:pPr>
        <w:pStyle w:val="a3"/>
        <w:jc w:val="both"/>
      </w:pPr>
      <w:r>
        <w:rPr>
          <w:color w:val="0000FF"/>
        </w:rPr>
        <w:t>розпорядження Державної комісії з регулювання ринків фінансових послуг України від 08 жовтня 2009 року N 741 "Про затвердження Положення про обов'язкові критерії та нормативи достатності, диверсифікованості та якості активів, якими представлені страхові резерви з видів страхування, інших, ніж страхування життя"</w:t>
      </w:r>
      <w:r>
        <w:t>, зареєстроване в Міністерстві юстиції України 18 листопада 2009 року за N 1099/17115 (із змінами).</w:t>
      </w:r>
    </w:p>
    <w:p w:rsidR="002A5235" w:rsidRDefault="002A5235" w:rsidP="002A5235">
      <w:pPr>
        <w:pStyle w:val="a3"/>
        <w:jc w:val="both"/>
      </w:pPr>
      <w:r>
        <w:lastRenderedPageBreak/>
        <w:t>3. Це розпорядження набирає чинності через 30 календарних днів з дня його офіційного опублікування.</w:t>
      </w:r>
    </w:p>
    <w:p w:rsidR="002A5235" w:rsidRDefault="002A5235" w:rsidP="002A5235">
      <w:pPr>
        <w:pStyle w:val="a3"/>
        <w:jc w:val="both"/>
      </w:pPr>
      <w:r>
        <w:t>4. Страховикам привести свою діяльність у відповідність до вимог пункту 6 розділу II, пунктів 3 та 5 розділу III Положення, зазначеного у пункті 1 цього розпорядження, до 30 червня 2016 року.</w:t>
      </w:r>
    </w:p>
    <w:p w:rsidR="002A5235" w:rsidRDefault="002A5235" w:rsidP="002A5235">
      <w:pPr>
        <w:pStyle w:val="a3"/>
        <w:jc w:val="both"/>
      </w:pPr>
      <w:r>
        <w:t>5. Обмеження щодо прийнятних активів, які включаються до розрахунку нормативу диверсифікованості активів страховика, передбачене пунктом 5 розділу III Положення, зазначеного у пункті 1 цього розпорядження, діє до 31 березня 2017 року включно.</w:t>
      </w:r>
    </w:p>
    <w:p w:rsidR="002A5235" w:rsidRDefault="002A5235" w:rsidP="002A5235">
      <w:pPr>
        <w:pStyle w:val="a3"/>
        <w:jc w:val="both"/>
      </w:pPr>
      <w:r>
        <w:t>6. Департаменту методології, стандартів регулювання та нагляду за фінансовими установами разом з департаментом юридичного забезпечення та ведення реєстру фінансових установ подати це розпорядження до Міністерства юстиції України для державної реєстрації.</w:t>
      </w:r>
    </w:p>
    <w:p w:rsidR="002A5235" w:rsidRDefault="002A5235" w:rsidP="002A5235">
      <w:pPr>
        <w:pStyle w:val="a3"/>
        <w:jc w:val="both"/>
      </w:pPr>
      <w:r>
        <w:t>7. Сектору зв'язків з громадськістю та протоколу забезпечити оприлюднення цього розпорядження після його державної реєстрації.</w:t>
      </w:r>
    </w:p>
    <w:p w:rsidR="002A5235" w:rsidRDefault="002A5235" w:rsidP="002A5235">
      <w:pPr>
        <w:pStyle w:val="a3"/>
        <w:jc w:val="both"/>
      </w:pPr>
      <w:r>
        <w:t>8. Контроль за виконанням цього розпорядження покласти на члена Нацкомфінпослуг Залєтова О. М.</w:t>
      </w:r>
    </w:p>
    <w:p w:rsidR="002A5235" w:rsidRDefault="002A5235" w:rsidP="002A5235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2A5235" w:rsidTr="002A5235">
        <w:trPr>
          <w:tblCellSpacing w:w="22" w:type="dxa"/>
        </w:trPr>
        <w:tc>
          <w:tcPr>
            <w:tcW w:w="2500" w:type="pct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Голова Комісії</w:t>
            </w:r>
          </w:p>
        </w:tc>
        <w:tc>
          <w:tcPr>
            <w:tcW w:w="2500" w:type="pct"/>
            <w:vAlign w:val="bottom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І. Пашко</w:t>
            </w:r>
          </w:p>
        </w:tc>
      </w:tr>
      <w:tr w:rsidR="002A5235" w:rsidTr="002A5235">
        <w:trPr>
          <w:tblCellSpacing w:w="22" w:type="dxa"/>
        </w:trPr>
        <w:tc>
          <w:tcPr>
            <w:tcW w:w="2500" w:type="pct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2A5235" w:rsidRDefault="002A5235">
            <w:pPr>
              <w:pStyle w:val="a3"/>
              <w:jc w:val="center"/>
            </w:pPr>
            <w:r>
              <w:t> </w:t>
            </w:r>
          </w:p>
        </w:tc>
      </w:tr>
      <w:tr w:rsidR="002A5235" w:rsidTr="002A5235">
        <w:trPr>
          <w:tblCellSpacing w:w="22" w:type="dxa"/>
        </w:trPr>
        <w:tc>
          <w:tcPr>
            <w:tcW w:w="2500" w:type="pct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Національної </w:t>
            </w:r>
            <w:r>
              <w:br/>
            </w:r>
            <w:r>
              <w:rPr>
                <w:b/>
                <w:bCs/>
              </w:rPr>
              <w:t xml:space="preserve">комісії з цінних паперів та </w:t>
            </w:r>
            <w:r>
              <w:br/>
            </w:r>
            <w:r>
              <w:rPr>
                <w:b/>
                <w:bCs/>
              </w:rPr>
              <w:t>фондового ринку</w:t>
            </w:r>
          </w:p>
        </w:tc>
        <w:tc>
          <w:tcPr>
            <w:tcW w:w="2500" w:type="pct"/>
            <w:vAlign w:val="bottom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Т. З. Хромаєв</w:t>
            </w:r>
          </w:p>
        </w:tc>
      </w:tr>
      <w:tr w:rsidR="002A5235" w:rsidTr="002A5235">
        <w:trPr>
          <w:tblCellSpacing w:w="22" w:type="dxa"/>
        </w:trPr>
        <w:tc>
          <w:tcPr>
            <w:tcW w:w="2500" w:type="pct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Антимонопольного </w:t>
            </w:r>
            <w:r>
              <w:br/>
            </w:r>
            <w:r>
              <w:rPr>
                <w:b/>
                <w:bCs/>
              </w:rPr>
              <w:t>комітету України</w:t>
            </w:r>
          </w:p>
        </w:tc>
        <w:tc>
          <w:tcPr>
            <w:tcW w:w="2500" w:type="pct"/>
            <w:vAlign w:val="bottom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Ю. Терентьєв</w:t>
            </w:r>
          </w:p>
        </w:tc>
      </w:tr>
    </w:tbl>
    <w:p w:rsidR="002A5235" w:rsidRDefault="002A5235" w:rsidP="002A5235">
      <w:pPr>
        <w:pStyle w:val="a3"/>
        <w:jc w:val="both"/>
      </w:pPr>
      <w:r>
        <w:br w:type="textWrapping" w:clear="all"/>
      </w:r>
    </w:p>
    <w:p w:rsidR="002A5235" w:rsidRDefault="002A5235" w:rsidP="002A5235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2A5235" w:rsidTr="002A5235">
        <w:trPr>
          <w:tblCellSpacing w:w="22" w:type="dxa"/>
        </w:trPr>
        <w:tc>
          <w:tcPr>
            <w:tcW w:w="5000" w:type="pct"/>
            <w:hideMark/>
          </w:tcPr>
          <w:p w:rsidR="002A5235" w:rsidRDefault="002A5235">
            <w:pPr>
              <w:pStyle w:val="a3"/>
            </w:pPr>
            <w:r>
              <w:t>Протокол засідання Комісії</w:t>
            </w:r>
            <w:r>
              <w:br/>
              <w:t>від 23 лютого 2016 р. N 18</w:t>
            </w:r>
          </w:p>
        </w:tc>
      </w:tr>
    </w:tbl>
    <w:p w:rsidR="002A5235" w:rsidRDefault="002A5235" w:rsidP="002A5235">
      <w:pPr>
        <w:pStyle w:val="a3"/>
        <w:jc w:val="both"/>
      </w:pPr>
      <w:r>
        <w:br w:type="textWrapping" w:clear="all"/>
      </w:r>
    </w:p>
    <w:p w:rsidR="002A5235" w:rsidRDefault="002A5235" w:rsidP="002A5235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2A5235" w:rsidTr="002A5235">
        <w:trPr>
          <w:tblCellSpacing w:w="22" w:type="dxa"/>
        </w:trPr>
        <w:tc>
          <w:tcPr>
            <w:tcW w:w="5000" w:type="pct"/>
            <w:hideMark/>
          </w:tcPr>
          <w:p w:rsidR="002A5235" w:rsidRDefault="002A5235">
            <w:pPr>
              <w:pStyle w:val="a3"/>
            </w:pPr>
            <w:r>
              <w:t>ЗАТВЕРДЖЕНО</w:t>
            </w:r>
            <w:r>
              <w:br/>
              <w:t>Розпорядження Національної комісії, що здійснює державне регулювання у сфері ринків фінансових послуг</w:t>
            </w:r>
            <w:r>
              <w:br/>
              <w:t>23 лютого 2016 року N 396</w:t>
            </w:r>
          </w:p>
          <w:p w:rsidR="002A5235" w:rsidRDefault="002A5235">
            <w:pPr>
              <w:pStyle w:val="a3"/>
            </w:pPr>
            <w:r>
              <w:lastRenderedPageBreak/>
              <w:t xml:space="preserve">Зареєстровано </w:t>
            </w:r>
            <w:r>
              <w:br/>
              <w:t>в Міністерстві юстиції України</w:t>
            </w:r>
            <w:r>
              <w:br/>
              <w:t>21 березня 2016 р. за N 417/28547</w:t>
            </w:r>
          </w:p>
        </w:tc>
      </w:tr>
    </w:tbl>
    <w:p w:rsidR="002A5235" w:rsidRDefault="002A5235" w:rsidP="002A5235">
      <w:pPr>
        <w:pStyle w:val="a3"/>
        <w:jc w:val="both"/>
      </w:pPr>
      <w:r>
        <w:lastRenderedPageBreak/>
        <w:br w:type="textWrapping" w:clear="all"/>
      </w:r>
    </w:p>
    <w:p w:rsidR="002A5235" w:rsidRDefault="002A5235" w:rsidP="002A523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ПОЛОЖЕННЯ</w:t>
      </w:r>
      <w:r>
        <w:rPr>
          <w:rFonts w:eastAsia="Times New Roman"/>
        </w:rPr>
        <w:br/>
        <w:t>про обов'язкові критерії та нормативи достатності, диверсифікованості та якості активів страховика</w:t>
      </w:r>
    </w:p>
    <w:p w:rsidR="002A5235" w:rsidRDefault="002A5235" w:rsidP="002A523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I. Загальні положення</w:t>
      </w:r>
    </w:p>
    <w:p w:rsidR="002A5235" w:rsidRDefault="002A5235" w:rsidP="002A5235">
      <w:pPr>
        <w:pStyle w:val="a3"/>
        <w:jc w:val="both"/>
      </w:pPr>
      <w:r>
        <w:t xml:space="preserve">1. Це Положення розроблене відповідно до </w:t>
      </w:r>
      <w:r>
        <w:rPr>
          <w:color w:val="0000FF"/>
        </w:rPr>
        <w:t>статей 27 - 29 Закону України "Про фінансові послуги та державне регулювання ринків фінансових послуг"</w:t>
      </w:r>
      <w:r>
        <w:t xml:space="preserve">, </w:t>
      </w:r>
      <w:r>
        <w:rPr>
          <w:color w:val="0000FF"/>
        </w:rPr>
        <w:t>статей 30</w:t>
      </w:r>
      <w:r>
        <w:t xml:space="preserve"> та </w:t>
      </w:r>
      <w:r>
        <w:rPr>
          <w:color w:val="0000FF"/>
        </w:rPr>
        <w:t>31 Закону України "Про страхування"</w:t>
      </w:r>
      <w:r>
        <w:t xml:space="preserve">, </w:t>
      </w:r>
      <w:r>
        <w:rPr>
          <w:color w:val="0000FF"/>
        </w:rPr>
        <w:t>статті 43 Закону України "Про обов'язкове страхування цивільно-правової відповідальності власників наземних транспортних засобів"</w:t>
      </w:r>
      <w:r>
        <w:t xml:space="preserve">, </w:t>
      </w:r>
      <w:r>
        <w:rPr>
          <w:color w:val="0000FF"/>
        </w:rPr>
        <w:t>Закону України "Про цінні папери та фондовий ринок"</w:t>
      </w:r>
      <w:r>
        <w:t xml:space="preserve">, підпункту 18 пункту 4 Положення про Національну комісію, що здійснює державне регулювання у сфері ринків фінансових послуг, затвердженого </w:t>
      </w:r>
      <w:r>
        <w:rPr>
          <w:color w:val="0000FF"/>
        </w:rPr>
        <w:t>Указом Президента України від 23 листопада 2011 року N 1070</w:t>
      </w:r>
      <w:r>
        <w:t>.</w:t>
      </w:r>
    </w:p>
    <w:p w:rsidR="002A5235" w:rsidRDefault="002A5235" w:rsidP="002A5235">
      <w:pPr>
        <w:pStyle w:val="a3"/>
        <w:jc w:val="both"/>
      </w:pPr>
      <w:r>
        <w:t>2. Цим Положенням встановлюються обов'язкові критерії та нормативи достатності, диверсифікованості та якості активів страховика.</w:t>
      </w:r>
    </w:p>
    <w:p w:rsidR="002A5235" w:rsidRDefault="002A5235" w:rsidP="002A5235">
      <w:pPr>
        <w:pStyle w:val="a3"/>
        <w:jc w:val="both"/>
      </w:pPr>
      <w:r>
        <w:t xml:space="preserve">3. У разі здійснення страховиками страхування довічної пенсії в системі недержавного пенсійного забезпечення кошти резервів, сформованих за такими договорами, розміщуються відповідно до </w:t>
      </w:r>
      <w:r>
        <w:rPr>
          <w:color w:val="0000FF"/>
        </w:rPr>
        <w:t>статті 49 Закону України "Про недержавне пенсійне забезпечення"</w:t>
      </w:r>
      <w:r>
        <w:t>.</w:t>
      </w:r>
    </w:p>
    <w:p w:rsidR="002A5235" w:rsidRDefault="002A5235" w:rsidP="002A5235">
      <w:pPr>
        <w:pStyle w:val="a3"/>
        <w:jc w:val="both"/>
      </w:pPr>
      <w:r>
        <w:t>4. У цьому Положенні терміни вживаються в таких значеннях:</w:t>
      </w:r>
    </w:p>
    <w:p w:rsidR="002A5235" w:rsidRDefault="002A5235" w:rsidP="002A5235">
      <w:pPr>
        <w:pStyle w:val="a3"/>
        <w:jc w:val="both"/>
      </w:pPr>
      <w:r>
        <w:t>боргові цінні папери - облігації підприємств (крім цільових облігацій), іпотечні сертифікати, іпотечні облігації, облігації місцевих позик, облігації міжнародних фінансових організацій, державні облігації України;</w:t>
      </w:r>
    </w:p>
    <w:p w:rsidR="002A5235" w:rsidRDefault="002A5235" w:rsidP="002A5235">
      <w:pPr>
        <w:pStyle w:val="a3"/>
        <w:jc w:val="both"/>
      </w:pPr>
      <w:r>
        <w:t>нерухоме майно - земельні ділянки, що належать на праві власності, будівлі, споруди, які розташовуються на земельній ділянці та щодо яких страховиком здійснено державну реєстрацію прав власності на таке нерухоме майно;</w:t>
      </w:r>
    </w:p>
    <w:p w:rsidR="002A5235" w:rsidRDefault="002A5235" w:rsidP="002A5235">
      <w:pPr>
        <w:pStyle w:val="a3"/>
        <w:jc w:val="both"/>
      </w:pPr>
      <w:r>
        <w:t>об'єкт нерухомого майна - нерухоме майно, щодо якого у страховика виникло право на таке майно, офіційно визнано і підтверджено цей факт державою шляхом внесення відповідного запису до Державного реєстру речових прав на нерухоме майно, сформовано реєстраційну справу та присвоєно індивідуальний реєстраційний номер;</w:t>
      </w:r>
    </w:p>
    <w:p w:rsidR="002A5235" w:rsidRDefault="002A5235" w:rsidP="002A5235">
      <w:pPr>
        <w:pStyle w:val="a3"/>
        <w:jc w:val="both"/>
      </w:pPr>
      <w:r>
        <w:t>страхові резерви - величина, яка визначає грошову оцінку зобов'язань страховика за договорами страхування (перестрахування), розрахована відповідно до вимог законодавства з метою забезпечення майбутніх страхових виплат залежно від видів страхування;</w:t>
      </w:r>
    </w:p>
    <w:p w:rsidR="002A5235" w:rsidRDefault="002A5235" w:rsidP="002A5235">
      <w:pPr>
        <w:pStyle w:val="a3"/>
        <w:jc w:val="both"/>
      </w:pPr>
      <w:r>
        <w:t>сума прийнятних активів - сукупна вартість у національній валюті активів страховика, яка визначається за балансовою вартістю таких активів, якщо інше не передбачено цим Положенням, які відповідають критеріям та вимогам до якості активів, установленим у розділі II цього Положення.</w:t>
      </w:r>
    </w:p>
    <w:p w:rsidR="002A5235" w:rsidRDefault="002A5235" w:rsidP="002A5235">
      <w:pPr>
        <w:pStyle w:val="a3"/>
        <w:jc w:val="both"/>
      </w:pPr>
      <w:r>
        <w:lastRenderedPageBreak/>
        <w:t xml:space="preserve">Інші терміни, які використовуються в цьому Положенні, вживаються відповідно до </w:t>
      </w:r>
      <w:r>
        <w:rPr>
          <w:color w:val="0000FF"/>
        </w:rPr>
        <w:t>Законів України "Про страхування"</w:t>
      </w:r>
      <w:r>
        <w:t xml:space="preserve">, </w:t>
      </w:r>
      <w:r>
        <w:rPr>
          <w:color w:val="0000FF"/>
        </w:rPr>
        <w:t>"Про фінансові послуги та державне регулювання ринків фінансових послуг"</w:t>
      </w:r>
      <w:r>
        <w:t xml:space="preserve">, </w:t>
      </w:r>
      <w:r>
        <w:rPr>
          <w:color w:val="0000FF"/>
        </w:rPr>
        <w:t>"Про цінні папери та фондовий ринок"</w:t>
      </w:r>
      <w:r>
        <w:t xml:space="preserve"> та інших нормативно-правових актів.</w:t>
      </w:r>
    </w:p>
    <w:p w:rsidR="002A5235" w:rsidRDefault="002A5235" w:rsidP="002A5235">
      <w:pPr>
        <w:pStyle w:val="a3"/>
        <w:jc w:val="both"/>
      </w:pPr>
      <w:r>
        <w:t>5. Норматив достатності активів - сума прийнятних активів, збільшена на величину непростроченої дебіторської заборгованості за укладеними договорами страхування та/або перестрахування.</w:t>
      </w:r>
    </w:p>
    <w:p w:rsidR="002A5235" w:rsidRDefault="002A5235" w:rsidP="002A5235">
      <w:pPr>
        <w:pStyle w:val="a3"/>
        <w:jc w:val="both"/>
      </w:pPr>
      <w:r>
        <w:t>Норматив достатності активів має бути не меншим, ніж сумарна величина довгострокових та поточних зобов'язань і забезпечень (розділи II - IV пасиву балансу (</w:t>
      </w:r>
      <w:r>
        <w:rPr>
          <w:color w:val="0000FF"/>
        </w:rPr>
        <w:t>Звіту про фінансовий стан</w:t>
      </w:r>
      <w:r>
        <w:t xml:space="preserve">), форма і склад статей якого визначаються Національним положенням (стандартом) бухгалтерського обліку 1 "Загальні вимоги до фінансової звітності", затвердженим </w:t>
      </w:r>
      <w:r>
        <w:rPr>
          <w:color w:val="0000FF"/>
        </w:rPr>
        <w:t>наказом Міністерства фінансів України від 07 лютого 2013 року N 73</w:t>
      </w:r>
      <w:r>
        <w:t>, зареєстрованим у Міністерстві юстиції України 28 лютого 2013 року за N 336/22868), включаючи величину страхових резервів, що розраховується відповідно до законодавства.</w:t>
      </w:r>
    </w:p>
    <w:p w:rsidR="002A5235" w:rsidRDefault="002A5235" w:rsidP="002A5235">
      <w:pPr>
        <w:pStyle w:val="a3"/>
        <w:jc w:val="both"/>
      </w:pPr>
      <w:r>
        <w:t>6. Норматив диверсифікованості активів - сума прийнятних активів, які відповідають критеріям та вимогам до диверсифікованості активів, установленим розділом III цього Положення.</w:t>
      </w:r>
    </w:p>
    <w:p w:rsidR="002A5235" w:rsidRDefault="002A5235" w:rsidP="002A5235">
      <w:pPr>
        <w:pStyle w:val="a3"/>
        <w:jc w:val="both"/>
      </w:pPr>
      <w:r>
        <w:t>Норматив диверсифікованості активів має бути не меншим, ніж величина страхових резервів, що розраховується відповідно до законодавства з урахуванням вимог стандартів фінансової звітності.</w:t>
      </w:r>
    </w:p>
    <w:p w:rsidR="002A5235" w:rsidRDefault="002A5235" w:rsidP="002A5235">
      <w:pPr>
        <w:pStyle w:val="a3"/>
        <w:jc w:val="both"/>
      </w:pPr>
      <w:r>
        <w:t>7. Страховик зобов'язаний на будь-яку дату дотримуватись нормативів достатності та диверсифікованості активів.</w:t>
      </w:r>
    </w:p>
    <w:p w:rsidR="002A5235" w:rsidRDefault="002A5235" w:rsidP="002A523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II. Критерії та вимоги до якості активів страховика, особливості розрахунку суми прийнятних активів</w:t>
      </w:r>
    </w:p>
    <w:p w:rsidR="002A5235" w:rsidRDefault="002A5235" w:rsidP="002A5235">
      <w:pPr>
        <w:pStyle w:val="a3"/>
        <w:jc w:val="both"/>
      </w:pPr>
      <w:r>
        <w:t>1. До суми прийнятних активів можуть включатися (з урахуванням вимог та обмежень, встановлених у пунктах 2 - 4 цього розділу) такі активи:</w:t>
      </w:r>
    </w:p>
    <w:p w:rsidR="002A5235" w:rsidRDefault="002A5235" w:rsidP="002A5235">
      <w:pPr>
        <w:pStyle w:val="a3"/>
        <w:jc w:val="both"/>
      </w:pPr>
      <w:r>
        <w:t>1) грошові кошти на поточному рахунку;</w:t>
      </w:r>
    </w:p>
    <w:p w:rsidR="002A5235" w:rsidRDefault="002A5235" w:rsidP="002A5235">
      <w:pPr>
        <w:pStyle w:val="a3"/>
        <w:jc w:val="both"/>
      </w:pPr>
      <w:r>
        <w:t>2) банківські вклади (депозити);</w:t>
      </w:r>
    </w:p>
    <w:p w:rsidR="002A5235" w:rsidRDefault="002A5235" w:rsidP="002A5235">
      <w:pPr>
        <w:pStyle w:val="a3"/>
        <w:jc w:val="both"/>
      </w:pPr>
      <w:r>
        <w:t>3) валютні вкладення згідно з валютою страхування;</w:t>
      </w:r>
    </w:p>
    <w:p w:rsidR="002A5235" w:rsidRDefault="002A5235" w:rsidP="002A5235">
      <w:pPr>
        <w:pStyle w:val="a3"/>
        <w:jc w:val="both"/>
      </w:pPr>
      <w:r>
        <w:t>4) нерухоме майно;</w:t>
      </w:r>
    </w:p>
    <w:p w:rsidR="002A5235" w:rsidRDefault="002A5235" w:rsidP="002A5235">
      <w:pPr>
        <w:pStyle w:val="a3"/>
        <w:jc w:val="both"/>
      </w:pPr>
      <w:r>
        <w:t>5) акції, облігації підприємств (крім цільових облігацій), іпотечні сертифікати, іпотечні облігації, облігації місцевих позик, облігації міжнародних фінансових організацій;</w:t>
      </w:r>
    </w:p>
    <w:p w:rsidR="002A5235" w:rsidRDefault="002A5235" w:rsidP="002A5235">
      <w:pPr>
        <w:pStyle w:val="a3"/>
        <w:jc w:val="both"/>
      </w:pPr>
      <w:r>
        <w:t>6) державні облігації України;</w:t>
      </w:r>
    </w:p>
    <w:p w:rsidR="002A5235" w:rsidRDefault="002A5235" w:rsidP="002A5235">
      <w:pPr>
        <w:pStyle w:val="a3"/>
        <w:jc w:val="both"/>
      </w:pPr>
      <w:r>
        <w:t>7) права вимоги до перестраховиків;</w:t>
      </w:r>
    </w:p>
    <w:p w:rsidR="002A5235" w:rsidRDefault="002A5235" w:rsidP="002A5235">
      <w:pPr>
        <w:pStyle w:val="a3"/>
        <w:jc w:val="both"/>
      </w:pPr>
      <w:r>
        <w:t xml:space="preserve">8) інвестиції в економіку України за напрямами інвестування галузей економіки за рахунок коштів страхових резервів, затвердженими </w:t>
      </w:r>
      <w:r>
        <w:rPr>
          <w:color w:val="0000FF"/>
        </w:rPr>
        <w:t xml:space="preserve">постановою Кабінету Міністрів </w:t>
      </w:r>
      <w:r>
        <w:rPr>
          <w:color w:val="0000FF"/>
        </w:rPr>
        <w:lastRenderedPageBreak/>
        <w:t>України від 17 серпня 2002 року N 1211</w:t>
      </w:r>
      <w:r>
        <w:t xml:space="preserve"> (далі - інвестиції в економіку України за напрямами, визначеними Кабінетом Міністрів України);</w:t>
      </w:r>
    </w:p>
    <w:p w:rsidR="002A5235" w:rsidRDefault="002A5235" w:rsidP="002A5235">
      <w:pPr>
        <w:pStyle w:val="a3"/>
        <w:jc w:val="both"/>
      </w:pPr>
      <w:r>
        <w:t>9) банківські метали, в тому числі поточні та вкладні (депозитні) рахунки в банківських металах;</w:t>
      </w:r>
    </w:p>
    <w:p w:rsidR="002A5235" w:rsidRDefault="002A5235" w:rsidP="002A5235">
      <w:pPr>
        <w:pStyle w:val="a3"/>
        <w:jc w:val="both"/>
      </w:pPr>
      <w:r>
        <w:t>10) кредити страхувальникам - фізичним особам, що уклали договори страхування життя, в межах викупної суми на момент видачі кредиту та під заставу викупної суми - для страхових резервів із страхування життя;</w:t>
      </w:r>
    </w:p>
    <w:p w:rsidR="002A5235" w:rsidRDefault="002A5235" w:rsidP="002A5235">
      <w:pPr>
        <w:pStyle w:val="a3"/>
        <w:jc w:val="both"/>
      </w:pPr>
      <w:r>
        <w:t>11) готівка в касі в обсягах лімітів залишків каси, розрахунок яких установлений Національним банком України;</w:t>
      </w:r>
    </w:p>
    <w:p w:rsidR="002A5235" w:rsidRDefault="002A5235" w:rsidP="002A5235">
      <w:pPr>
        <w:pStyle w:val="a3"/>
        <w:jc w:val="both"/>
      </w:pPr>
      <w:r>
        <w:t xml:space="preserve">12) кошти, сплачені страховиками до централізованих страхових резервних фондів Моторного (транспортного) страхового бюро України відповідно до </w:t>
      </w:r>
      <w:r>
        <w:rPr>
          <w:color w:val="0000FF"/>
        </w:rPr>
        <w:t>Закону України "Про обов'язкове страхування цивільно-правової відповідальності власників наземних транспортних засобів"</w:t>
      </w:r>
      <w:r>
        <w:t>.</w:t>
      </w:r>
    </w:p>
    <w:p w:rsidR="002A5235" w:rsidRDefault="002A5235" w:rsidP="002A5235">
      <w:pPr>
        <w:pStyle w:val="a3"/>
        <w:jc w:val="both"/>
      </w:pPr>
      <w:r>
        <w:t>2. Прийнятні активи повинні розміщуватися з урахуванням принципів безпечності, прибутковості, ліквідності та диверсифікованості.</w:t>
      </w:r>
    </w:p>
    <w:p w:rsidR="002A5235" w:rsidRDefault="002A5235" w:rsidP="002A5235">
      <w:pPr>
        <w:pStyle w:val="a3"/>
        <w:jc w:val="both"/>
      </w:pPr>
      <w:r>
        <w:t>3. Активи, визначені в пункті 1 цього розділу, включаються до суми прийнятних активів за умови, якщо:</w:t>
      </w:r>
    </w:p>
    <w:p w:rsidR="002A5235" w:rsidRDefault="002A5235" w:rsidP="002A5235">
      <w:pPr>
        <w:pStyle w:val="a3"/>
        <w:jc w:val="both"/>
      </w:pPr>
      <w:r>
        <w:t>1) акції українських емітентів відповідно до законодавства пройшли процедуру лістингу на фондовій біржі, перебувають в біржовому реєстрі та в обігу на фондовій біржі;</w:t>
      </w:r>
    </w:p>
    <w:p w:rsidR="002A5235" w:rsidRDefault="002A5235" w:rsidP="002A5235">
      <w:pPr>
        <w:pStyle w:val="a3"/>
        <w:jc w:val="both"/>
      </w:pPr>
      <w:r>
        <w:t>2) акції іноземних емітентів, щодо яких Національною комісією з цінних паперів та фондового ринку прийнято рішення про допуск таких цінних паперів до обігу на території України, відповідно до законодавства пройшли процедуру лістингу на фондовій біржі, перебувають у біржовому реєстрі та в обігу на фондовій біржі, а також за умови, що:</w:t>
      </w:r>
    </w:p>
    <w:p w:rsidR="002A5235" w:rsidRDefault="002A5235" w:rsidP="002A5235">
      <w:pPr>
        <w:pStyle w:val="a3"/>
        <w:jc w:val="both"/>
      </w:pPr>
      <w:r>
        <w:t>іноземний емітент акцій провадить свою діяльність не менше ніж два роки;</w:t>
      </w:r>
    </w:p>
    <w:p w:rsidR="002A5235" w:rsidRDefault="002A5235" w:rsidP="002A5235">
      <w:pPr>
        <w:pStyle w:val="a3"/>
        <w:jc w:val="both"/>
      </w:pPr>
      <w:r>
        <w:t>акції іноземних емітентів перебувають в обігу упродовж останніх 12 місяців до дати розрахунку величини активів на організованих фондових ринках та пройшли процедуру лістингу на одній із таких іноземних фондових бірж: NASDAQ OMX, NASDAQ OMX - Armenia, NASDAQ OMX - Copenhagen, NASDAQ OMX - Helsinki, NASDAQ OMX - Iceland, NASDAQ OMX - Riga, NASDAQ OMX - Stockholm, NASDAQ OMX - Tallinn, NASDAQ OMX - Vilnius, NYSE Euronext - Amsterdam, NYSE Euronext - Brussels, NYSE Euronext - Lisbon, NYSE Euronext - New York, NYSE Euronext - Paris, Deutsche B</w:t>
      </w:r>
      <w:r>
        <w:rPr>
          <w:noProof/>
        </w:rPr>
        <w:drawing>
          <wp:inline distT="0" distB="0" distL="0" distR="0">
            <wp:extent cx="77470" cy="103505"/>
            <wp:effectExtent l="19050" t="0" r="0" b="0"/>
            <wp:docPr id="2" name="Рисунок 2" descr="C:\Documents and Settings\sorochenko_A\Application Data\Liga70\Client\Session\RE28547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orochenko_A\Application Data\Liga70\Client\Session\RE28547_img_0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rse AG, SIX Swiss Exchange, Irish Stock Exchange, Tokyo Stock Exchange Group, Inc., Warsaw Stock Exchange або London Stock Exchange;</w:t>
      </w:r>
    </w:p>
    <w:p w:rsidR="002A5235" w:rsidRDefault="002A5235" w:rsidP="002A5235">
      <w:pPr>
        <w:pStyle w:val="a3"/>
        <w:jc w:val="both"/>
      </w:pPr>
      <w:r>
        <w:t>3) облігації підприємств українських емітентів, облігації місцевих позик, іпотечні сертифікати, іпотечні облігації, державні облігації України, облігації міжнародних фінансових організацій перебувають в біржовому списку та в обігу на фондовій біржі.</w:t>
      </w:r>
    </w:p>
    <w:p w:rsidR="002A5235" w:rsidRDefault="002A5235" w:rsidP="002A5235">
      <w:pPr>
        <w:pStyle w:val="a3"/>
        <w:jc w:val="both"/>
      </w:pPr>
      <w:r>
        <w:t>У разі якщо облігації виключено з біржового списку та протягом 90 календарних днів не включено до біржового списку, надалі такі активи включаються до суми прийнятних активів в розмірі не більше 50 відсотків їх вартості;</w:t>
      </w:r>
    </w:p>
    <w:p w:rsidR="002A5235" w:rsidRDefault="002A5235" w:rsidP="002A5235">
      <w:pPr>
        <w:pStyle w:val="a3"/>
        <w:jc w:val="both"/>
      </w:pPr>
      <w:r>
        <w:lastRenderedPageBreak/>
        <w:t>4) облігації іноземних емітентів, щодо яких Національною комісією з цінних паперів та фондового ринку прийнято рішення про допуск таких цінних паперів до обігу на території України, відповідають вимогам щодо допуску таких цінних паперів до обігу їх на території України, а також за умови, що:</w:t>
      </w:r>
    </w:p>
    <w:p w:rsidR="002A5235" w:rsidRDefault="002A5235" w:rsidP="002A5235">
      <w:pPr>
        <w:pStyle w:val="a3"/>
        <w:jc w:val="both"/>
      </w:pPr>
      <w:r>
        <w:t>кредитний рейтинг іноземного емітента облігацій не нижчий за один із таких: "A3" - "Moody's Investors Service" (США), "A" - "Standard &amp; Poor's" (США), "A" - "Fitch Ratings" (Великобританія);</w:t>
      </w:r>
    </w:p>
    <w:p w:rsidR="002A5235" w:rsidRDefault="002A5235" w:rsidP="002A5235">
      <w:pPr>
        <w:pStyle w:val="a3"/>
        <w:jc w:val="both"/>
      </w:pPr>
      <w:r>
        <w:t>облігації іноземних емітентів перебувають в обігу упродовж останніх 12 місяців до дати розрахунку величини активів на організованих фондових ринках та пройшли процедуру лістингу на одній із таких іноземних фондових бірж: NASDAQ OMX, NASDAQ OMX - Armenia, NASDAQ OMX - Copenhagen, NASDAQ OMX - Helsinki, NASDAQ OMX - Iceland, NASDAQ OMX - Riga, NASDAQ OMX - Stockholm, NASDAQ OMX - Tallinn, NASDAQ OMX - Vilnius, NYSE Euronext - Amsterdam, NYSE Euronext - Brussels, NYSE Euronext - Lisbon, NYSE Euronext - New York, NYSE Euronext - Paris, Deutsche B</w:t>
      </w:r>
      <w:r>
        <w:rPr>
          <w:noProof/>
        </w:rPr>
        <w:drawing>
          <wp:inline distT="0" distB="0" distL="0" distR="0">
            <wp:extent cx="77470" cy="103505"/>
            <wp:effectExtent l="19050" t="0" r="0" b="0"/>
            <wp:docPr id="3" name="Рисунок 3" descr="C:\Documents and Settings\sorochenko_A\Application Data\Liga70\Client\Session\RE28547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orochenko_A\Application Data\Liga70\Client\Session\RE28547_img_00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rse AG, SIX Swiss Exchange, Irish Stock Exchange, Tokyo Stock Exchange Group, Inc., Warsaw Stock Exchange або London Stock Exchange;</w:t>
      </w:r>
    </w:p>
    <w:p w:rsidR="002A5235" w:rsidRDefault="002A5235" w:rsidP="002A5235">
      <w:pPr>
        <w:pStyle w:val="a3"/>
        <w:jc w:val="both"/>
      </w:pPr>
      <w:r>
        <w:t>5) цінні папери іноземних держав-емітентів відповідають вимогам щодо допуску таких цінних паперів до обігу їх на території України, а також за умови, що суверенні рейтинги в національній валюті, в іноземній валюті, за короткостроковими зобов'язаннями, за довгостроковими зобов'язаннями країни, в якій державою здійснено випуск цінних паперів, не нижчі за один із таких: "A3" - "Moody's Investors Service" (США), "A" - "Standard &amp; Poor's" (США), "A" - "Fitch Ratings" (Великобританія);</w:t>
      </w:r>
    </w:p>
    <w:p w:rsidR="002A5235" w:rsidRDefault="002A5235" w:rsidP="002A5235">
      <w:pPr>
        <w:pStyle w:val="a3"/>
        <w:jc w:val="both"/>
      </w:pPr>
      <w:r>
        <w:t xml:space="preserve">6) активи, визначені в підпунктах 1 - 3 та 9 пункту 1 цього розділу, розміщені в банку, кредитний рейтинг якого відповідає інвестиційному рівню за Національною рейтинговою шкалою, затвердженою </w:t>
      </w:r>
      <w:r>
        <w:rPr>
          <w:color w:val="0000FF"/>
        </w:rPr>
        <w:t>постановою Кабінету Міністрів України від 26 квітня 2007 року N 665</w:t>
      </w:r>
      <w:r>
        <w:t xml:space="preserve"> (далі - національна рейтингова шкала).</w:t>
      </w:r>
    </w:p>
    <w:p w:rsidR="002A5235" w:rsidRDefault="002A5235" w:rsidP="002A5235">
      <w:pPr>
        <w:pStyle w:val="a3"/>
        <w:jc w:val="both"/>
      </w:pPr>
      <w:r>
        <w:t>У разі зниження рівня кредитного рейтингу банку, в якому розміщено активи страховика, нижче інвестиційного рейтингу за національною рейтинговою шкалою такі активи включаються до суми прийнятних активів з такого розрахунку:</w:t>
      </w:r>
    </w:p>
    <w:p w:rsidR="002A5235" w:rsidRDefault="002A5235" w:rsidP="002A5235">
      <w:pPr>
        <w:pStyle w:val="a3"/>
        <w:jc w:val="both"/>
      </w:pPr>
      <w:r>
        <w:t>протягом 30 календарних днів з моменту зниження рівня кредитного рейтингу в розмірі не більше 75 відсотків їх вартості;</w:t>
      </w:r>
    </w:p>
    <w:p w:rsidR="002A5235" w:rsidRDefault="002A5235" w:rsidP="002A5235">
      <w:pPr>
        <w:pStyle w:val="a3"/>
        <w:jc w:val="both"/>
      </w:pPr>
      <w:r>
        <w:t>протягом 31 - 60 календарних днів з моменту зниження рівня кредитного рейтингу в розмірі не більше 50 відсотків їх вартості;</w:t>
      </w:r>
    </w:p>
    <w:p w:rsidR="002A5235" w:rsidRDefault="002A5235" w:rsidP="002A5235">
      <w:pPr>
        <w:pStyle w:val="a3"/>
        <w:jc w:val="both"/>
      </w:pPr>
      <w:r>
        <w:t>протягом 61 - 90 календарних днів з моменту зниження рівня кредитного рейтингу в розмірі не більше 25 відсотків їх вартості.</w:t>
      </w:r>
    </w:p>
    <w:p w:rsidR="002A5235" w:rsidRDefault="002A5235" w:rsidP="002A5235">
      <w:pPr>
        <w:pStyle w:val="a3"/>
        <w:jc w:val="both"/>
      </w:pPr>
      <w:r>
        <w:t>Якщо протягом 90 календарних днів з моменту зниження рівня кредитного рейтингу банку, в якому розміщені активи страховика, не відбулось відновлення рейтингу до рівня інвестиційного, зазначені активи не включаються до суми прийнятних активів;</w:t>
      </w:r>
    </w:p>
    <w:p w:rsidR="002A5235" w:rsidRDefault="002A5235" w:rsidP="002A5235">
      <w:pPr>
        <w:pStyle w:val="a3"/>
        <w:jc w:val="both"/>
      </w:pPr>
      <w:r>
        <w:t xml:space="preserve">7) боргові цінні папери, емітентом яких є резидент України, мають інвестиційний кредитний рейтинг за </w:t>
      </w:r>
      <w:r>
        <w:rPr>
          <w:color w:val="0000FF"/>
        </w:rPr>
        <w:t>національною рейтинговою шкалою</w:t>
      </w:r>
      <w:r>
        <w:t>.</w:t>
      </w:r>
    </w:p>
    <w:p w:rsidR="002A5235" w:rsidRDefault="002A5235" w:rsidP="002A5235">
      <w:pPr>
        <w:pStyle w:val="a3"/>
        <w:jc w:val="both"/>
      </w:pPr>
      <w:r>
        <w:lastRenderedPageBreak/>
        <w:t xml:space="preserve">У разі зниження рівня кредитного рейтингу боргового цінного паперу, в якому розміщено активи страховика, нижче інвестиційного за </w:t>
      </w:r>
      <w:r>
        <w:rPr>
          <w:color w:val="0000FF"/>
        </w:rPr>
        <w:t>національною рейтинговою шкалою</w:t>
      </w:r>
      <w:r>
        <w:t xml:space="preserve"> такі активи включаються до суми прийнятних активів з такого розрахунку:</w:t>
      </w:r>
    </w:p>
    <w:p w:rsidR="002A5235" w:rsidRDefault="002A5235" w:rsidP="002A5235">
      <w:pPr>
        <w:pStyle w:val="a3"/>
        <w:jc w:val="both"/>
      </w:pPr>
      <w:r>
        <w:t>протягом 30 календарних днів з моменту зниження рівня кредитного рейтингу в розмірі не більше 75 відсотків їх вартості;</w:t>
      </w:r>
    </w:p>
    <w:p w:rsidR="002A5235" w:rsidRDefault="002A5235" w:rsidP="002A5235">
      <w:pPr>
        <w:pStyle w:val="a3"/>
        <w:jc w:val="both"/>
      </w:pPr>
      <w:r>
        <w:t>протягом 31 - 60 календарних днів з моменту зниження рівня кредитного рейтингу в розмірі не більше 50 відсотків їх вартості;</w:t>
      </w:r>
    </w:p>
    <w:p w:rsidR="002A5235" w:rsidRDefault="002A5235" w:rsidP="002A5235">
      <w:pPr>
        <w:pStyle w:val="a3"/>
        <w:jc w:val="both"/>
      </w:pPr>
      <w:r>
        <w:t>протягом 61 - 90 календарних днів з моменту зниження рівня кредитного рейтингу в розмірі не більше 25 відсотків їх вартості.</w:t>
      </w:r>
    </w:p>
    <w:p w:rsidR="002A5235" w:rsidRDefault="002A5235" w:rsidP="002A5235">
      <w:pPr>
        <w:pStyle w:val="a3"/>
        <w:jc w:val="both"/>
      </w:pPr>
      <w:r>
        <w:t>Якщо протягом 90 календарних днів з моменту зниження рівня кредитного рейтингу боргового цінного паперу, в якому розміщено активи страховика, не відбулось відновлення рейтингу до рівня інвестиційного, зазначені активи не включаються до суми прийнятних активів;</w:t>
      </w:r>
    </w:p>
    <w:p w:rsidR="002A5235" w:rsidRDefault="002A5235" w:rsidP="002A5235">
      <w:pPr>
        <w:pStyle w:val="a3"/>
        <w:jc w:val="both"/>
      </w:pPr>
      <w:r>
        <w:t>8) оцінка активів здійснюється за їх справедливою вартістю відповідно до вимог міжнародних стандартів бухгалтерського обліку та фінансової звітності з урахуванням вимог цього Положення;</w:t>
      </w:r>
    </w:p>
    <w:p w:rsidR="002A5235" w:rsidRDefault="002A5235" w:rsidP="002A5235">
      <w:pPr>
        <w:pStyle w:val="a3"/>
        <w:jc w:val="both"/>
      </w:pPr>
      <w:r>
        <w:t>9) активи визначені в національній валюті України або в іноземній вільно конвертованій валюті.</w:t>
      </w:r>
    </w:p>
    <w:p w:rsidR="002A5235" w:rsidRDefault="002A5235" w:rsidP="002A5235">
      <w:pPr>
        <w:pStyle w:val="a3"/>
        <w:jc w:val="both"/>
      </w:pPr>
      <w:r>
        <w:t>4. До суми прийнятних активів не включаються:</w:t>
      </w:r>
    </w:p>
    <w:p w:rsidR="002A5235" w:rsidRDefault="002A5235" w:rsidP="002A5235">
      <w:pPr>
        <w:pStyle w:val="a3"/>
        <w:jc w:val="both"/>
      </w:pPr>
      <w:r>
        <w:t>1) активи, розміщені в банку, щодо якого прийнято рішення Національного банку України про віднесення його до категорії неплатоспроможних;</w:t>
      </w:r>
    </w:p>
    <w:p w:rsidR="002A5235" w:rsidRDefault="002A5235" w:rsidP="002A5235">
      <w:pPr>
        <w:pStyle w:val="a3"/>
        <w:jc w:val="both"/>
      </w:pPr>
      <w:r>
        <w:t>2) цінні папери:</w:t>
      </w:r>
    </w:p>
    <w:p w:rsidR="002A5235" w:rsidRDefault="002A5235" w:rsidP="002A5235">
      <w:pPr>
        <w:pStyle w:val="a3"/>
        <w:jc w:val="both"/>
      </w:pPr>
      <w:r>
        <w:t>обіг яких зупинено - з дати оприлюднення відповідної інформації на офіційному веб-сайті Національної комісії з цінних паперів та фондового ринку;</w:t>
      </w:r>
    </w:p>
    <w:p w:rsidR="002A5235" w:rsidRDefault="002A5235" w:rsidP="002A5235">
      <w:pPr>
        <w:pStyle w:val="a3"/>
        <w:jc w:val="both"/>
      </w:pPr>
      <w:r>
        <w:t>щодо емітента яких порушено провадження у справі про банкрутство, винесена ухвала про його санацію;</w:t>
      </w:r>
    </w:p>
    <w:p w:rsidR="002A5235" w:rsidRDefault="002A5235" w:rsidP="002A5235">
      <w:pPr>
        <w:pStyle w:val="a3"/>
        <w:jc w:val="both"/>
      </w:pPr>
      <w:r>
        <w:t>щодо емітента яких прийнято рішення про припинення шляхом ліквідації або визнання емітента банкрутом;</w:t>
      </w:r>
    </w:p>
    <w:p w:rsidR="002A5235" w:rsidRDefault="002A5235" w:rsidP="002A5235">
      <w:pPr>
        <w:pStyle w:val="a3"/>
        <w:jc w:val="both"/>
      </w:pPr>
      <w:r>
        <w:t>щодо яких визнано недійсною емісію цінних паперів такого емітента, скасовано реєстрацію випуску цінних паперів такого емітента;</w:t>
      </w:r>
    </w:p>
    <w:p w:rsidR="002A5235" w:rsidRDefault="002A5235" w:rsidP="002A5235">
      <w:pPr>
        <w:pStyle w:val="a3"/>
        <w:jc w:val="both"/>
      </w:pPr>
      <w:r>
        <w:t>емітент яких включений до списку емітентів, що мають ознаки фіктивності, оприлюдненому на офіційному веб-сайті Національної комісії з цінних паперів та фондового ринку;</w:t>
      </w:r>
    </w:p>
    <w:p w:rsidR="002A5235" w:rsidRDefault="002A5235" w:rsidP="002A5235">
      <w:pPr>
        <w:pStyle w:val="a3"/>
        <w:jc w:val="both"/>
      </w:pPr>
      <w:r>
        <w:t>щодо емітента яких в Єдиному державному реєстрі юридичних осіб, фізичних осіб - підприємців та громадських формувань відсутні відомості про юридичну особу або наявні відомості про відсутність юридичної особи за її місцезнаходженням;</w:t>
      </w:r>
    </w:p>
    <w:p w:rsidR="002A5235" w:rsidRDefault="002A5235" w:rsidP="002A5235">
      <w:pPr>
        <w:pStyle w:val="a3"/>
        <w:jc w:val="both"/>
      </w:pPr>
      <w:r>
        <w:lastRenderedPageBreak/>
        <w:t>емітента, у відношенні до яких прийнято рішення про зупинення торгівлі на будь-якій біржі, - з дати оприлюднення відповідної інформації на офіційному веб-сайті Національної комісії з цінних паперів та фондового ринку;</w:t>
      </w:r>
    </w:p>
    <w:p w:rsidR="002A5235" w:rsidRDefault="002A5235" w:rsidP="002A5235">
      <w:pPr>
        <w:pStyle w:val="a3"/>
        <w:jc w:val="both"/>
      </w:pPr>
      <w:r>
        <w:t>3) права вимоги до перестраховиків-резидентів з видів страхування, щодо яких такий перестраховик не має права здійснювати діяльність на дату розрахунку, та права вимоги до перестраховиків-нерезидентів, які на дату укладення відповідного договору перестрахування не відповідали вимогам, встановленим законодавством з питань регулювання ринків фінансових послуг.</w:t>
      </w:r>
    </w:p>
    <w:p w:rsidR="002A5235" w:rsidRDefault="002A5235" w:rsidP="002A5235">
      <w:pPr>
        <w:pStyle w:val="a3"/>
        <w:jc w:val="both"/>
      </w:pPr>
      <w:r>
        <w:t>5. До нормативу диверсифікованості активів не включаються такі активи:</w:t>
      </w:r>
    </w:p>
    <w:p w:rsidR="002A5235" w:rsidRDefault="002A5235" w:rsidP="002A5235">
      <w:pPr>
        <w:pStyle w:val="a3"/>
        <w:jc w:val="both"/>
      </w:pPr>
      <w:r>
        <w:t>1) майно, яке перебуває в заставі та є забезпеченням виконання будь-якої вимоги за іншими, ніж страхові, зобов'язаннями страховика;</w:t>
      </w:r>
    </w:p>
    <w:p w:rsidR="002A5235" w:rsidRDefault="002A5235" w:rsidP="002A5235">
      <w:pPr>
        <w:pStyle w:val="a3"/>
        <w:jc w:val="both"/>
      </w:pPr>
      <w:r>
        <w:t>2) активи, придбані за рахунок позик (кредити, поворотна фінансова допомога, інші позикові кошти);</w:t>
      </w:r>
    </w:p>
    <w:p w:rsidR="002A5235" w:rsidRDefault="002A5235" w:rsidP="002A5235">
      <w:pPr>
        <w:pStyle w:val="a3"/>
        <w:jc w:val="both"/>
      </w:pPr>
      <w:r>
        <w:t xml:space="preserve">3) активи, розміщені у банках та боргових цінних паперах, кредитний рейтинг яких нижче інвестиційного рівня за </w:t>
      </w:r>
      <w:r>
        <w:rPr>
          <w:color w:val="0000FF"/>
        </w:rPr>
        <w:t>національною рейтинговою шкалою</w:t>
      </w:r>
      <w:r>
        <w:t>;</w:t>
      </w:r>
    </w:p>
    <w:p w:rsidR="002A5235" w:rsidRDefault="002A5235" w:rsidP="002A5235">
      <w:pPr>
        <w:pStyle w:val="a3"/>
        <w:jc w:val="both"/>
      </w:pPr>
      <w:r>
        <w:t>4) цінні папери, емітентами яких є інші страховики;</w:t>
      </w:r>
    </w:p>
    <w:p w:rsidR="002A5235" w:rsidRDefault="002A5235" w:rsidP="002A5235">
      <w:pPr>
        <w:pStyle w:val="a3"/>
        <w:jc w:val="both"/>
      </w:pPr>
      <w:r>
        <w:t>5) цінні папери із зобов'язаннями зворотного викупу, крім державних облігацій України;</w:t>
      </w:r>
    </w:p>
    <w:p w:rsidR="002A5235" w:rsidRDefault="002A5235" w:rsidP="002A5235">
      <w:pPr>
        <w:pStyle w:val="a3"/>
        <w:jc w:val="both"/>
      </w:pPr>
      <w:r>
        <w:t>6) цінні папери, за якими не здійснено повної оплати їх вартості;</w:t>
      </w:r>
    </w:p>
    <w:p w:rsidR="002A5235" w:rsidRDefault="002A5235" w:rsidP="002A5235">
      <w:pPr>
        <w:pStyle w:val="a3"/>
        <w:jc w:val="both"/>
      </w:pPr>
      <w:r>
        <w:t>7) іпотечні сертифікати, іпотечні облігації, крім іпотечних облігацій, емітентом яких є фінансова установа, більше ніж 50 відсотків корпоративних прав якої належать державі та/або державним банкам;</w:t>
      </w:r>
    </w:p>
    <w:p w:rsidR="002A5235" w:rsidRDefault="002A5235" w:rsidP="002A5235">
      <w:pPr>
        <w:pStyle w:val="a3"/>
        <w:jc w:val="both"/>
      </w:pPr>
      <w:r>
        <w:t>8) кошти, надані іншим особам на умовах субординованого боргу;</w:t>
      </w:r>
    </w:p>
    <w:p w:rsidR="002A5235" w:rsidRDefault="002A5235" w:rsidP="002A5235">
      <w:pPr>
        <w:pStyle w:val="a3"/>
        <w:jc w:val="both"/>
      </w:pPr>
      <w:r>
        <w:t>9) помилково перераховані кошти на рахунок страховика;</w:t>
      </w:r>
    </w:p>
    <w:p w:rsidR="002A5235" w:rsidRDefault="002A5235" w:rsidP="002A5235">
      <w:pPr>
        <w:pStyle w:val="a3"/>
        <w:jc w:val="both"/>
      </w:pPr>
      <w:r>
        <w:t>10) суми страхових платежів, які підлягають поверненню страхувальнику в період, наступний за звітним, відповідно до законодавства;</w:t>
      </w:r>
    </w:p>
    <w:p w:rsidR="002A5235" w:rsidRDefault="002A5235" w:rsidP="002A5235">
      <w:pPr>
        <w:pStyle w:val="a3"/>
        <w:jc w:val="both"/>
      </w:pPr>
      <w:r>
        <w:t>11) права вимоги до перестраховика-нерезидента, якщо рейтинг фінансової надійності (стійкості) такого перестраховика-нерезидента нижчий, ніж за класифікацією таких міжнародних рейтингових агентств: "BB" - "A.M.Best" (США), "Baa3" - "Moody's Investors Service" (США), "BBB-" - "Standard &amp; Poor's" (США), "BBB-" - "Fitch Ratings" (Великобританія), та такий перестраховик-нерезидент не є страховим пулом;</w:t>
      </w:r>
    </w:p>
    <w:p w:rsidR="002A5235" w:rsidRDefault="002A5235" w:rsidP="002A5235">
      <w:pPr>
        <w:pStyle w:val="a3"/>
        <w:jc w:val="both"/>
      </w:pPr>
      <w:r>
        <w:t>12) права вимоги до перестраховиків-нерезидентів за укладеними договорами перестрахування ризиків, пов'язаних з дожиттям застрахованої особи до певного віку, події чи закінчення дії договору, крім ризиків, які пов'язані зі смертю застрахованої особи в будь-якому випадку, та/або з нещасним випадком, що трапився, та/або в разі стійкої непрацездатності (інвалідності) унаслідок хвороби застрахованої особи.</w:t>
      </w:r>
    </w:p>
    <w:p w:rsidR="002A5235" w:rsidRDefault="002A5235" w:rsidP="002A5235">
      <w:pPr>
        <w:pStyle w:val="a3"/>
        <w:jc w:val="both"/>
      </w:pPr>
      <w:r>
        <w:t>6. З метою виконання вимог цього Положення низькоризиковими активами визнаються такі активи:</w:t>
      </w:r>
    </w:p>
    <w:p w:rsidR="002A5235" w:rsidRDefault="002A5235" w:rsidP="002A5235">
      <w:pPr>
        <w:pStyle w:val="a3"/>
        <w:jc w:val="both"/>
      </w:pPr>
      <w:r>
        <w:lastRenderedPageBreak/>
        <w:t>державні облігації України;</w:t>
      </w:r>
    </w:p>
    <w:p w:rsidR="002A5235" w:rsidRDefault="002A5235" w:rsidP="002A5235">
      <w:pPr>
        <w:pStyle w:val="a3"/>
        <w:jc w:val="both"/>
      </w:pPr>
      <w:r>
        <w:t>кошти, розміщені в банках, які мають кредитний рейтинг не нижче ніж "AA" за національною рейтинговою шкалою;</w:t>
      </w:r>
    </w:p>
    <w:p w:rsidR="002A5235" w:rsidRDefault="002A5235" w:rsidP="002A5235">
      <w:pPr>
        <w:pStyle w:val="a3"/>
        <w:jc w:val="both"/>
      </w:pPr>
      <w:r>
        <w:t>облігації, емітентом яких є банк, який має кредитний рейтинг не нижче ніж "AA" за національною рейтинговою шкалою;</w:t>
      </w:r>
    </w:p>
    <w:p w:rsidR="002A5235" w:rsidRDefault="002A5235" w:rsidP="002A5235">
      <w:pPr>
        <w:pStyle w:val="a3"/>
        <w:jc w:val="both"/>
      </w:pPr>
      <w:r>
        <w:t>облігації міжнародних фінансових організацій.</w:t>
      </w:r>
    </w:p>
    <w:p w:rsidR="002A5235" w:rsidRDefault="002A5235" w:rsidP="002A523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III. Критерії та вимоги до диверсифікації активів страховика</w:t>
      </w:r>
    </w:p>
    <w:p w:rsidR="002A5235" w:rsidRDefault="002A5235" w:rsidP="002A5235">
      <w:pPr>
        <w:pStyle w:val="a3"/>
        <w:jc w:val="both"/>
      </w:pPr>
      <w:r>
        <w:t>1. До нормативу диверсифікованості активів включаються прийнятні активи в таких обсягах:</w:t>
      </w:r>
    </w:p>
    <w:p w:rsidR="002A5235" w:rsidRDefault="002A5235" w:rsidP="002A5235">
      <w:pPr>
        <w:pStyle w:val="a3"/>
        <w:jc w:val="both"/>
      </w:pPr>
      <w:r>
        <w:t>1) грошові кошти на поточних рахунках та банківські вклади на вимогу (за винятком коштів у розмірі резерву належних виплат страхових сум та коштів резерву заявлених, але не виплачених збитків):</w:t>
      </w:r>
    </w:p>
    <w:p w:rsidR="002A5235" w:rsidRDefault="002A5235" w:rsidP="002A5235">
      <w:pPr>
        <w:pStyle w:val="a3"/>
        <w:jc w:val="both"/>
      </w:pPr>
      <w:r>
        <w:t>для страховика, що здійснює страхування життя, - не більше 20 відсотків страхових резервів;</w:t>
      </w:r>
    </w:p>
    <w:p w:rsidR="002A5235" w:rsidRDefault="002A5235" w:rsidP="002A5235">
      <w:pPr>
        <w:pStyle w:val="a3"/>
        <w:jc w:val="both"/>
      </w:pPr>
      <w:r>
        <w:t>для страховика, що здійснює страхування інше, ніж страхування життя, - не більше 30 відсотків страхових резервів.</w:t>
      </w:r>
    </w:p>
    <w:p w:rsidR="002A5235" w:rsidRDefault="002A5235" w:rsidP="002A5235">
      <w:pPr>
        <w:pStyle w:val="a3"/>
        <w:jc w:val="both"/>
      </w:pPr>
      <w:r>
        <w:t>Кошти резерву належних виплат страхових сум та кошти резерву заявлених, але не виплачених збитків, розміщені у вигляді грошових коштів на поточних рахунках та банківських вкладів на вимогу, включаються до нормативу диверсифікованості активів у повному обсязі;</w:t>
      </w:r>
    </w:p>
    <w:p w:rsidR="002A5235" w:rsidRDefault="002A5235" w:rsidP="002A5235">
      <w:pPr>
        <w:pStyle w:val="a3"/>
        <w:jc w:val="both"/>
      </w:pPr>
      <w:r>
        <w:t>2) банківські вклади (депозити), в тому числі в іноземній вільно конвертованій валюті, валютні вкладення згідно з валютою страхування - разом не більше 70 відсотків страхових резервів.</w:t>
      </w:r>
    </w:p>
    <w:p w:rsidR="002A5235" w:rsidRDefault="002A5235" w:rsidP="002A5235">
      <w:pPr>
        <w:pStyle w:val="a3"/>
        <w:jc w:val="both"/>
      </w:pPr>
      <w:r>
        <w:t>При цьому банківські вклади (депозити), валютні вкладення згідно з валютою страхування в кожному банку - не більше 20 відсотків страхових резервів.</w:t>
      </w:r>
    </w:p>
    <w:p w:rsidR="002A5235" w:rsidRDefault="002A5235" w:rsidP="002A5235">
      <w:pPr>
        <w:pStyle w:val="a3"/>
        <w:jc w:val="both"/>
      </w:pPr>
      <w:r>
        <w:t>Обсяг банківських вкладів (депозитів) в іноземній валюті може бути збільшений на величину, яка відповідає розміру сформованих страхових резервів за договорами страхування, за якими страховики несуть відповідальність в іноземній валюті;</w:t>
      </w:r>
    </w:p>
    <w:p w:rsidR="002A5235" w:rsidRDefault="002A5235" w:rsidP="002A5235">
      <w:pPr>
        <w:pStyle w:val="a3"/>
        <w:jc w:val="both"/>
      </w:pPr>
      <w:r>
        <w:t>3) нерухоме майно - не більше 20 відсотків страхових резервів, при цьому вкладення в один об'єкт нерухомого майна - не більше 10 відсотків страхових резервів;</w:t>
      </w:r>
    </w:p>
    <w:p w:rsidR="002A5235" w:rsidRDefault="002A5235" w:rsidP="002A5235">
      <w:pPr>
        <w:pStyle w:val="a3"/>
        <w:jc w:val="both"/>
      </w:pPr>
      <w:r>
        <w:t>4) цінні папери за вказаним нижче переліком - разом не більше 50 відсотків страхових резервів, з них:</w:t>
      </w:r>
    </w:p>
    <w:p w:rsidR="002A5235" w:rsidRDefault="002A5235" w:rsidP="002A5235">
      <w:pPr>
        <w:pStyle w:val="a3"/>
        <w:jc w:val="both"/>
      </w:pPr>
      <w:r>
        <w:t>акції українських емітентів - не більше 10 відсотків страхових резервів, при цьому в акції одного емітента - не більше 3 відсотків страхових резервів;</w:t>
      </w:r>
    </w:p>
    <w:p w:rsidR="002A5235" w:rsidRDefault="002A5235" w:rsidP="002A5235">
      <w:pPr>
        <w:pStyle w:val="a3"/>
        <w:jc w:val="both"/>
      </w:pPr>
      <w:r>
        <w:t xml:space="preserve">облігації підприємств українських емітентів - для страховика, що здійснює страхування життя, - не більше 40 відсотків страхових резервів, при цьому не більше 10 відсотків </w:t>
      </w:r>
      <w:r>
        <w:lastRenderedPageBreak/>
        <w:t>страхових резервів в облігації одного емітента, а для страховика, що здійснює страхування інше, ніж страхування життя, - не більше 30 відсотків страхових резервів, при цьому не більше 10 відсотків страхових резервів в облігації одного емітента;</w:t>
      </w:r>
    </w:p>
    <w:p w:rsidR="002A5235" w:rsidRDefault="002A5235" w:rsidP="002A5235">
      <w:pPr>
        <w:pStyle w:val="a3"/>
        <w:jc w:val="both"/>
      </w:pPr>
      <w:r>
        <w:t>акції, облігації іноземних емітентів та цінні папери іноземних держав - для страховика, що здійснює страхування життя, - не більше 20 відсотків страхових резервів, а для страховика, що здійснює страхування інше, ніж страхування життя, - не більше 10 відсотків страхових резервів;</w:t>
      </w:r>
    </w:p>
    <w:p w:rsidR="002A5235" w:rsidRDefault="002A5235" w:rsidP="002A5235">
      <w:pPr>
        <w:pStyle w:val="a3"/>
        <w:jc w:val="both"/>
      </w:pPr>
      <w:r>
        <w:t>облігації місцевих позик - не більше 10 відсотків страхових резервів;</w:t>
      </w:r>
    </w:p>
    <w:p w:rsidR="002A5235" w:rsidRDefault="002A5235" w:rsidP="002A5235">
      <w:pPr>
        <w:pStyle w:val="a3"/>
        <w:jc w:val="both"/>
      </w:pPr>
      <w:r>
        <w:t>іпотечні облігації, емітентом яких є Державна іпотечна установа, фінансова установа, більше ніж 50 відсотків корпоративних прав якої належать державі та/або державним банкам, - разом не більше 20 відсотків страхових резервів;</w:t>
      </w:r>
    </w:p>
    <w:p w:rsidR="002A5235" w:rsidRDefault="002A5235" w:rsidP="002A5235">
      <w:pPr>
        <w:pStyle w:val="a3"/>
        <w:jc w:val="both"/>
      </w:pPr>
      <w:r>
        <w:t>облігації міжнародних фінансових організацій для страховика, що здійснює страхування життя, - не більше 50 відсотків страхових резервів, а для страховика, що здійснює страхування інше, ніж страхування життя, - не більше 40 відсотків страхових резервів;</w:t>
      </w:r>
    </w:p>
    <w:p w:rsidR="002A5235" w:rsidRDefault="002A5235" w:rsidP="002A5235">
      <w:pPr>
        <w:pStyle w:val="a3"/>
        <w:jc w:val="both"/>
      </w:pPr>
      <w:r>
        <w:t>5) державні облігації України - для страховика, що здійснює страхування життя, - не більше 95 відсотків страхових резервів, а для страховика, що здійснює страхування інше, ніж страхування життя, - не більше 80 відсотків страхових резервів;</w:t>
      </w:r>
    </w:p>
    <w:p w:rsidR="002A5235" w:rsidRDefault="002A5235" w:rsidP="002A5235">
      <w:pPr>
        <w:pStyle w:val="a3"/>
        <w:jc w:val="both"/>
      </w:pPr>
      <w:r>
        <w:t>6) права вимоги до перестраховиків - для страховика, що здійснює страхування життя, - разом не більше 40 відсотків страхових резервів, а для страховика, що здійснює страхування інше, ніж страхування життя, - разом не більше 50 відсотків страхових резервів. При цьому:</w:t>
      </w:r>
    </w:p>
    <w:p w:rsidR="002A5235" w:rsidRDefault="002A5235" w:rsidP="002A5235">
      <w:pPr>
        <w:pStyle w:val="a3"/>
        <w:jc w:val="both"/>
      </w:pPr>
      <w:r>
        <w:t>права вимоги до кожного перестраховика-резидента - не більше 5 відсотків страхових резервів;</w:t>
      </w:r>
    </w:p>
    <w:p w:rsidR="002A5235" w:rsidRDefault="002A5235" w:rsidP="002A5235">
      <w:pPr>
        <w:pStyle w:val="a3"/>
        <w:jc w:val="both"/>
      </w:pPr>
      <w:r>
        <w:t>права вимоги до перестраховиків-нерезидентів для страховика, що здійснює страхування життя, - разом не більше 35 відсотків страхових резервів.</w:t>
      </w:r>
    </w:p>
    <w:p w:rsidR="002A5235" w:rsidRDefault="002A5235" w:rsidP="002A5235">
      <w:pPr>
        <w:pStyle w:val="a3"/>
        <w:jc w:val="both"/>
      </w:pPr>
      <w:r>
        <w:t>До нормативу диверсифікованості активів включаються в повному обсязі права вимоги до перестраховиків у резерві заявлених, але не виплачених збитків.</w:t>
      </w:r>
    </w:p>
    <w:p w:rsidR="002A5235" w:rsidRDefault="002A5235" w:rsidP="002A5235">
      <w:pPr>
        <w:pStyle w:val="a3"/>
        <w:jc w:val="both"/>
      </w:pPr>
      <w:r>
        <w:t>До нормативу диверсифікованості активів включаються в повному обсязі права вимоги до перестраховиків за укладеними договорами перестрахування ризиків за такими видами страхування:</w:t>
      </w:r>
    </w:p>
    <w:p w:rsidR="002A5235" w:rsidRDefault="002A5235" w:rsidP="002A5235">
      <w:pPr>
        <w:pStyle w:val="a3"/>
        <w:jc w:val="both"/>
      </w:pPr>
      <w:r>
        <w:t>авіаційне страхування цивільної авіації;</w:t>
      </w:r>
    </w:p>
    <w:p w:rsidR="002A5235" w:rsidRDefault="002A5235" w:rsidP="002A5235">
      <w:pPr>
        <w:pStyle w:val="a3"/>
        <w:jc w:val="both"/>
      </w:pPr>
      <w:r>
        <w:t>страхування відповідальності морського перевізника та виконавця робіт, пов'язаних із обслуговуванням морського транспорту, щодо відшкодування збитків, завданих пасажирам, багажу, пошті, вантажу, іншим користувачам морського транспорту та третім особам;</w:t>
      </w:r>
    </w:p>
    <w:p w:rsidR="002A5235" w:rsidRDefault="002A5235" w:rsidP="002A5235">
      <w:pPr>
        <w:pStyle w:val="a3"/>
        <w:jc w:val="both"/>
      </w:pPr>
      <w:r>
        <w:t>страхування об'єктів космічної діяльності (наземна інфраструктура), перелік яких затверджується Кабінетом Міністрів України за поданням Національного космічного агентства України;</w:t>
      </w:r>
    </w:p>
    <w:p w:rsidR="002A5235" w:rsidRDefault="002A5235" w:rsidP="002A5235">
      <w:pPr>
        <w:pStyle w:val="a3"/>
        <w:jc w:val="both"/>
      </w:pPr>
      <w:r>
        <w:lastRenderedPageBreak/>
        <w:t>страхування цивільної відповідальності суб'єктів космічної діяльності;</w:t>
      </w:r>
    </w:p>
    <w:p w:rsidR="002A5235" w:rsidRDefault="002A5235" w:rsidP="002A5235">
      <w:pPr>
        <w:pStyle w:val="a3"/>
        <w:jc w:val="both"/>
      </w:pPr>
      <w:r>
        <w:t>страхування об'єктів космічної діяльності (космічна інфраструктура), які є власністю України, щодо ризиків, пов'язаних з підготовкою до запуску космічної техніки на космодромі, запуском та експлуатацією її у космічному просторі;</w:t>
      </w:r>
    </w:p>
    <w:p w:rsidR="002A5235" w:rsidRDefault="002A5235" w:rsidP="002A5235">
      <w:pPr>
        <w:pStyle w:val="a3"/>
        <w:jc w:val="both"/>
      </w:pPr>
      <w:r>
        <w:t>страхування відповідальності щодо ризиків, пов'язаних з підготовкою до запуску космічної техніки на космодромі, запуском та експлуатацією її у космічному просторі;</w:t>
      </w:r>
    </w:p>
    <w:p w:rsidR="002A5235" w:rsidRDefault="002A5235" w:rsidP="002A5235">
      <w:pPr>
        <w:pStyle w:val="a3"/>
        <w:jc w:val="both"/>
      </w:pPr>
      <w:r>
        <w:t>страхування відповідальності власників водного транспорту (включаючи відповідальність перевізника);</w:t>
      </w:r>
    </w:p>
    <w:p w:rsidR="002A5235" w:rsidRDefault="002A5235" w:rsidP="002A5235">
      <w:pPr>
        <w:pStyle w:val="a3"/>
        <w:jc w:val="both"/>
      </w:pPr>
      <w:r>
        <w:t>страхування повітряного транспорту;</w:t>
      </w:r>
    </w:p>
    <w:p w:rsidR="002A5235" w:rsidRDefault="002A5235" w:rsidP="002A5235">
      <w:pPr>
        <w:pStyle w:val="a3"/>
        <w:jc w:val="both"/>
      </w:pPr>
      <w:r>
        <w:t>страхування відповідальності власників повітряного транспорту (включаючи відповідальність перевізника);</w:t>
      </w:r>
    </w:p>
    <w:p w:rsidR="002A5235" w:rsidRDefault="002A5235" w:rsidP="002A5235">
      <w:pPr>
        <w:pStyle w:val="a3"/>
        <w:jc w:val="both"/>
      </w:pPr>
      <w:r>
        <w:t>страхування водного транспорту (морського внутрішнього та інших видів водного транспорту);</w:t>
      </w:r>
    </w:p>
    <w:p w:rsidR="002A5235" w:rsidRDefault="002A5235" w:rsidP="002A5235">
      <w:pPr>
        <w:pStyle w:val="a3"/>
        <w:jc w:val="both"/>
      </w:pPr>
      <w:r>
        <w:t>обов'язкове страхування цивільно-правової відповідальності власників наземних транспортних засобів;</w:t>
      </w:r>
    </w:p>
    <w:p w:rsidR="002A5235" w:rsidRDefault="002A5235" w:rsidP="002A5235">
      <w:pPr>
        <w:pStyle w:val="a3"/>
        <w:jc w:val="both"/>
      </w:pPr>
      <w:r>
        <w:t xml:space="preserve">страхування сільськогосподарської продукції інше, ніж страхування сільськогосподарської продукції з державною підтримкою відповідно до </w:t>
      </w:r>
      <w:r>
        <w:rPr>
          <w:color w:val="0000FF"/>
        </w:rPr>
        <w:t>Закону України "Про особливості страхування сільськогосподарської продукції з державною підтримкою"</w:t>
      </w:r>
      <w:r>
        <w:t>,</w:t>
      </w:r>
    </w:p>
    <w:p w:rsidR="002A5235" w:rsidRDefault="002A5235" w:rsidP="002A5235">
      <w:pPr>
        <w:pStyle w:val="a3"/>
        <w:jc w:val="both"/>
      </w:pPr>
      <w:r>
        <w:t>за умови, що ці перестраховики відповідають таким вимогам:</w:t>
      </w:r>
    </w:p>
    <w:p w:rsidR="002A5235" w:rsidRDefault="002A5235" w:rsidP="002A5235">
      <w:pPr>
        <w:pStyle w:val="a3"/>
        <w:jc w:val="both"/>
      </w:pPr>
      <w:r>
        <w:t>провадить страхову та/або перестрахову діяльність не менше десяти років;</w:t>
      </w:r>
    </w:p>
    <w:p w:rsidR="002A5235" w:rsidRDefault="002A5235" w:rsidP="002A5235">
      <w:pPr>
        <w:pStyle w:val="a3"/>
        <w:jc w:val="both"/>
      </w:pPr>
      <w:r>
        <w:t xml:space="preserve">рейтинг фінансової надійності перестраховика-резидента, визначений уповноваженими рейтинговими агентствами та/або міжнародними рейтинговими агентствами, визнаними відповідно до законодавства, не нижчий ніж "АА-" за </w:t>
      </w:r>
      <w:r>
        <w:rPr>
          <w:color w:val="0000FF"/>
        </w:rPr>
        <w:t>національною рейтинговою шкалою</w:t>
      </w:r>
      <w:r>
        <w:t>.</w:t>
      </w:r>
    </w:p>
    <w:p w:rsidR="002A5235" w:rsidRDefault="002A5235" w:rsidP="002A5235">
      <w:pPr>
        <w:pStyle w:val="a3"/>
        <w:jc w:val="both"/>
      </w:pPr>
      <w:r>
        <w:t>До нормативу диверсифікованості активів включаються в повному обсязі права вимоги до перестраховиків за укладеними договорами перестрахування:</w:t>
      </w:r>
    </w:p>
    <w:p w:rsidR="002A5235" w:rsidRDefault="002A5235" w:rsidP="002A5235">
      <w:pPr>
        <w:pStyle w:val="a3"/>
        <w:jc w:val="both"/>
      </w:pPr>
      <w:r>
        <w:t xml:space="preserve">ризиків із страхування сільськогосподарської продукції з державною підтримкою відповідно до </w:t>
      </w:r>
      <w:r>
        <w:rPr>
          <w:color w:val="0000FF"/>
        </w:rPr>
        <w:t>Закону України "Про особливості страхування сільськогосподарської продукції з державною підтримкою"</w:t>
      </w:r>
      <w:r>
        <w:t>;</w:t>
      </w:r>
    </w:p>
    <w:p w:rsidR="002A5235" w:rsidRDefault="002A5235" w:rsidP="002A5235">
      <w:pPr>
        <w:pStyle w:val="a3"/>
        <w:jc w:val="both"/>
      </w:pPr>
      <w:r>
        <w:t>ризиків із страхування цивільної відповідальності оператора ядерної установки за ядерну шкоду, яка може бути заподіяна внаслідок ядерного інциденту.</w:t>
      </w:r>
    </w:p>
    <w:p w:rsidR="002A5235" w:rsidRDefault="002A5235" w:rsidP="002A5235">
      <w:pPr>
        <w:pStyle w:val="a3"/>
        <w:jc w:val="both"/>
      </w:pPr>
      <w:r>
        <w:t xml:space="preserve">Права вимоги до перестраховиків визначаються як сума часток перестраховиків у страхових резервах, розрахованих відповідно до вимог законодавства, за виключенням суми часток перестраховиків-резидентів у страхових резервах, з видів страхування, щодо яких страховик не має права здійснювати діяльність на дату розрахунку, та суми часток перестраховиків-нерезидентів у страхових резервах, які на момент укладення відповідного </w:t>
      </w:r>
      <w:r>
        <w:lastRenderedPageBreak/>
        <w:t>договору перестрахування не відповідали вимогам, встановленим законодавством з питань регулювання ринків фінансових послуг;</w:t>
      </w:r>
    </w:p>
    <w:p w:rsidR="002A5235" w:rsidRDefault="002A5235" w:rsidP="002A5235">
      <w:pPr>
        <w:pStyle w:val="a3"/>
        <w:jc w:val="both"/>
      </w:pPr>
      <w:r>
        <w:t>7) довгострокове фінансування (кредитування) житлового будівництва - не більше 10 відсотків страхових резервів зі страхування життя;</w:t>
      </w:r>
    </w:p>
    <w:p w:rsidR="002A5235" w:rsidRDefault="002A5235" w:rsidP="002A5235">
      <w:pPr>
        <w:pStyle w:val="a3"/>
        <w:jc w:val="both"/>
      </w:pPr>
      <w:r>
        <w:t>8) інвестиції в економіку України за напрямами, визначеними Кабінетом Міністрів України, крім інвестування в розвиток ринку іпотечного кредитування шляхом придбання цінних паперів, емітентом яких є Державна іпотечна установа, - разом не більше 10 відсотків страхових резервів. При цьому в окремий об'єкт інвестування - не більше 5 відсотків страхових резервів;</w:t>
      </w:r>
    </w:p>
    <w:p w:rsidR="002A5235" w:rsidRDefault="002A5235" w:rsidP="002A5235">
      <w:pPr>
        <w:pStyle w:val="a3"/>
        <w:jc w:val="both"/>
      </w:pPr>
      <w:r>
        <w:t>9) банківські метали, в тому числі поточні та вкладні (депозитні) рахунки в банківських металах, - разом не більше 15 відсотків страхових резервів;</w:t>
      </w:r>
    </w:p>
    <w:p w:rsidR="002A5235" w:rsidRDefault="002A5235" w:rsidP="002A5235">
      <w:pPr>
        <w:pStyle w:val="a3"/>
        <w:jc w:val="both"/>
      </w:pPr>
      <w:r>
        <w:t>10) кредити страхувальникам - фізичним особам - разом не більше 20 відсотків страхових резервів зі страхування життя.</w:t>
      </w:r>
    </w:p>
    <w:p w:rsidR="002A5235" w:rsidRDefault="002A5235" w:rsidP="002A5235">
      <w:pPr>
        <w:pStyle w:val="a3"/>
        <w:jc w:val="both"/>
      </w:pPr>
      <w:r>
        <w:t>2. До нормативу диверсифікованості активів включаються кошти, сплачені страховиками до централізованих страхових резервних фондів Моторного (транспортного) страхового бюро України, в обсязі не більше ніж розміри коштів, що використовуються виключно для здійснення страхових виплат за поточними зобов'язаннями страховика за договорами страхування цивільно-правової відповідальності власників наземних транспортних засобів.</w:t>
      </w:r>
    </w:p>
    <w:p w:rsidR="002A5235" w:rsidRDefault="002A5235" w:rsidP="002A5235">
      <w:pPr>
        <w:pStyle w:val="a3"/>
        <w:jc w:val="both"/>
      </w:pPr>
      <w:r>
        <w:t>Такі кошти страховика повинні обліковуватись в Моторному (транспортному) страховому бюро України окремо.</w:t>
      </w:r>
    </w:p>
    <w:p w:rsidR="002A5235" w:rsidRDefault="002A5235" w:rsidP="002A5235">
      <w:pPr>
        <w:pStyle w:val="a3"/>
        <w:jc w:val="both"/>
      </w:pPr>
      <w:r>
        <w:t xml:space="preserve">3. До нормативу диверсифікованості активів включаються активи, розміщені у банках та боргових цінних паперах, кредитний рейтинг яких за </w:t>
      </w:r>
      <w:r>
        <w:rPr>
          <w:color w:val="0000FF"/>
        </w:rPr>
        <w:t>національною рейтинговою шкалою</w:t>
      </w:r>
      <w:r>
        <w:t xml:space="preserve"> нижче, ніж "A-", але в межах інвестиційного рейтингу, - разом не більше 20 відсотків страхових резервів, при цьому в одній юридичній особі - не більше 10 відсотків страхових резервів.</w:t>
      </w:r>
    </w:p>
    <w:p w:rsidR="002A5235" w:rsidRDefault="002A5235" w:rsidP="002A5235">
      <w:pPr>
        <w:pStyle w:val="a3"/>
        <w:jc w:val="both"/>
      </w:pPr>
      <w:r>
        <w:t>4. До нормативу диверсифікованості активів включаються активи страховика, розміщені в одній юридичній особі, в розмірі не більше 25 відсотків страхових резервів, зокрема:</w:t>
      </w:r>
    </w:p>
    <w:p w:rsidR="002A5235" w:rsidRDefault="002A5235" w:rsidP="002A5235">
      <w:pPr>
        <w:pStyle w:val="a3"/>
        <w:jc w:val="both"/>
      </w:pPr>
      <w:r>
        <w:t>банківські вклади (депозити), валютні вкладення, банківські метали на рахунках, відкритих у цій юридичній особі;</w:t>
      </w:r>
    </w:p>
    <w:p w:rsidR="002A5235" w:rsidRDefault="002A5235" w:rsidP="002A5235">
      <w:pPr>
        <w:pStyle w:val="a3"/>
        <w:jc w:val="both"/>
      </w:pPr>
      <w:r>
        <w:t>акції, облігації підприємств, іпотечні облігації, емітентом яких є ця юридична особа;</w:t>
      </w:r>
    </w:p>
    <w:p w:rsidR="002A5235" w:rsidRDefault="002A5235" w:rsidP="002A5235">
      <w:pPr>
        <w:pStyle w:val="a3"/>
        <w:jc w:val="both"/>
      </w:pPr>
      <w:r>
        <w:t>інвестиції в економіку України за напрямами, визначеними Кабінетом Міністрів України;</w:t>
      </w:r>
    </w:p>
    <w:p w:rsidR="002A5235" w:rsidRDefault="002A5235" w:rsidP="002A5235">
      <w:pPr>
        <w:pStyle w:val="a3"/>
        <w:jc w:val="both"/>
      </w:pPr>
      <w:r>
        <w:t>довгострокове фінансування (кредитування) житлового будівництва.</w:t>
      </w:r>
    </w:p>
    <w:p w:rsidR="002A5235" w:rsidRDefault="002A5235" w:rsidP="002A5235">
      <w:pPr>
        <w:pStyle w:val="a3"/>
        <w:jc w:val="both"/>
      </w:pPr>
      <w:r>
        <w:t>5. До нормативу диверсифікованості активів включаються прийнятні активи страховика, які не визначені пунктом 6 розділу II цього Положення у якості низькоризикових активів:</w:t>
      </w:r>
    </w:p>
    <w:p w:rsidR="002A5235" w:rsidRDefault="002A5235" w:rsidP="002A5235">
      <w:pPr>
        <w:pStyle w:val="a3"/>
        <w:jc w:val="both"/>
      </w:pPr>
      <w:r>
        <w:t>для страховика, що здійснює страхування життя, - разом не більше 75 відсотків страхових резервів;</w:t>
      </w:r>
    </w:p>
    <w:p w:rsidR="002A5235" w:rsidRDefault="002A5235" w:rsidP="002A5235">
      <w:pPr>
        <w:pStyle w:val="a3"/>
        <w:jc w:val="both"/>
      </w:pPr>
      <w:r>
        <w:lastRenderedPageBreak/>
        <w:t>для страховика, що здійснює страхування інше, ніж страхування життя, - разом не більше 85 відсотків страхових резервів.</w:t>
      </w:r>
    </w:p>
    <w:p w:rsidR="002A5235" w:rsidRDefault="002A5235" w:rsidP="002A523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IV. Прикінцеві положення</w:t>
      </w:r>
    </w:p>
    <w:p w:rsidR="002A5235" w:rsidRDefault="002A5235" w:rsidP="002A5235">
      <w:pPr>
        <w:pStyle w:val="a3"/>
        <w:jc w:val="both"/>
      </w:pPr>
      <w:r>
        <w:t>1. Державний контроль за дотриманням страховиками вимог цього Положення здійснюється Нацкомфінпослуг відповідно до законодавства.</w:t>
      </w:r>
    </w:p>
    <w:p w:rsidR="002A5235" w:rsidRDefault="002A5235" w:rsidP="002A5235">
      <w:pPr>
        <w:pStyle w:val="a3"/>
        <w:jc w:val="both"/>
      </w:pPr>
      <w:r>
        <w:t>2. Нацкомфінпослуг може вимагати надання інформації про дотримання вимог цього Положення станом на будь-яку дату.</w:t>
      </w:r>
    </w:p>
    <w:p w:rsidR="002A5235" w:rsidRDefault="002A5235" w:rsidP="002A5235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2A5235" w:rsidTr="002A5235">
        <w:trPr>
          <w:tblCellSpacing w:w="22" w:type="dxa"/>
        </w:trPr>
        <w:tc>
          <w:tcPr>
            <w:tcW w:w="2500" w:type="pct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методології, </w:t>
            </w:r>
            <w:r>
              <w:br/>
            </w:r>
            <w:r>
              <w:rPr>
                <w:b/>
                <w:bCs/>
              </w:rPr>
              <w:t xml:space="preserve">стандартів регулювання та </w:t>
            </w:r>
            <w:r>
              <w:br/>
            </w:r>
            <w:r>
              <w:rPr>
                <w:b/>
                <w:bCs/>
              </w:rPr>
              <w:t>нагляду за фінансовими установами</w:t>
            </w:r>
          </w:p>
        </w:tc>
        <w:tc>
          <w:tcPr>
            <w:tcW w:w="2500" w:type="pct"/>
            <w:vAlign w:val="bottom"/>
            <w:hideMark/>
          </w:tcPr>
          <w:p w:rsidR="002A5235" w:rsidRDefault="002A5235">
            <w:pPr>
              <w:pStyle w:val="a3"/>
              <w:jc w:val="center"/>
            </w:pPr>
            <w:r>
              <w:rPr>
                <w:b/>
                <w:bCs/>
              </w:rPr>
              <w:t>В. Логвіновський</w:t>
            </w:r>
          </w:p>
        </w:tc>
      </w:tr>
    </w:tbl>
    <w:p w:rsidR="002A5235" w:rsidRDefault="002A5235" w:rsidP="002A5235">
      <w:pPr>
        <w:pStyle w:val="a3"/>
        <w:jc w:val="both"/>
      </w:pPr>
      <w:r>
        <w:br w:type="textWrapping" w:clear="all"/>
      </w:r>
    </w:p>
    <w:sectPr w:rsidR="002A5235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/>
  <w:rsids>
    <w:rsidRoot w:val="002A5235"/>
    <w:rsid w:val="00000305"/>
    <w:rsid w:val="0000171A"/>
    <w:rsid w:val="00004622"/>
    <w:rsid w:val="000058FA"/>
    <w:rsid w:val="00005D21"/>
    <w:rsid w:val="00006674"/>
    <w:rsid w:val="00007170"/>
    <w:rsid w:val="00011A84"/>
    <w:rsid w:val="000140FB"/>
    <w:rsid w:val="00022488"/>
    <w:rsid w:val="000227B8"/>
    <w:rsid w:val="000316A2"/>
    <w:rsid w:val="0003360C"/>
    <w:rsid w:val="000339A4"/>
    <w:rsid w:val="00033A12"/>
    <w:rsid w:val="000366CA"/>
    <w:rsid w:val="00047B8D"/>
    <w:rsid w:val="00050749"/>
    <w:rsid w:val="000507FC"/>
    <w:rsid w:val="00053578"/>
    <w:rsid w:val="00060E7B"/>
    <w:rsid w:val="00060F94"/>
    <w:rsid w:val="00065F17"/>
    <w:rsid w:val="00071498"/>
    <w:rsid w:val="000718BE"/>
    <w:rsid w:val="0007208D"/>
    <w:rsid w:val="000728BD"/>
    <w:rsid w:val="00073581"/>
    <w:rsid w:val="00073900"/>
    <w:rsid w:val="00075D03"/>
    <w:rsid w:val="00076BEE"/>
    <w:rsid w:val="00084566"/>
    <w:rsid w:val="000865DC"/>
    <w:rsid w:val="00087727"/>
    <w:rsid w:val="00090870"/>
    <w:rsid w:val="00090A06"/>
    <w:rsid w:val="00090ACC"/>
    <w:rsid w:val="00093AE0"/>
    <w:rsid w:val="00096079"/>
    <w:rsid w:val="000C13BD"/>
    <w:rsid w:val="000C2558"/>
    <w:rsid w:val="000C2AFE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75A"/>
    <w:rsid w:val="0010209B"/>
    <w:rsid w:val="001056C4"/>
    <w:rsid w:val="0010641F"/>
    <w:rsid w:val="00110EB9"/>
    <w:rsid w:val="001123FA"/>
    <w:rsid w:val="001221E1"/>
    <w:rsid w:val="001234DA"/>
    <w:rsid w:val="0013146D"/>
    <w:rsid w:val="0013172B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756"/>
    <w:rsid w:val="00171387"/>
    <w:rsid w:val="0017425F"/>
    <w:rsid w:val="001779AC"/>
    <w:rsid w:val="0018000A"/>
    <w:rsid w:val="00180AF0"/>
    <w:rsid w:val="00184980"/>
    <w:rsid w:val="00185C1B"/>
    <w:rsid w:val="001869F0"/>
    <w:rsid w:val="00190685"/>
    <w:rsid w:val="0019088C"/>
    <w:rsid w:val="00192017"/>
    <w:rsid w:val="00193A91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EC0"/>
    <w:rsid w:val="001E4AF1"/>
    <w:rsid w:val="00202C3B"/>
    <w:rsid w:val="002038D9"/>
    <w:rsid w:val="00203C23"/>
    <w:rsid w:val="002053E1"/>
    <w:rsid w:val="0020568E"/>
    <w:rsid w:val="002057E0"/>
    <w:rsid w:val="002073D6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5B35"/>
    <w:rsid w:val="00235E3F"/>
    <w:rsid w:val="00242068"/>
    <w:rsid w:val="0024309D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6C8"/>
    <w:rsid w:val="00271A2E"/>
    <w:rsid w:val="00272047"/>
    <w:rsid w:val="002733BA"/>
    <w:rsid w:val="00274780"/>
    <w:rsid w:val="00274AAF"/>
    <w:rsid w:val="002772D3"/>
    <w:rsid w:val="002855A0"/>
    <w:rsid w:val="002908FC"/>
    <w:rsid w:val="00294269"/>
    <w:rsid w:val="002949CD"/>
    <w:rsid w:val="002A0200"/>
    <w:rsid w:val="002A1754"/>
    <w:rsid w:val="002A1B04"/>
    <w:rsid w:val="002A4F33"/>
    <w:rsid w:val="002A5235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2B6E"/>
    <w:rsid w:val="00313E35"/>
    <w:rsid w:val="00316D61"/>
    <w:rsid w:val="003176E7"/>
    <w:rsid w:val="003219D7"/>
    <w:rsid w:val="003254E5"/>
    <w:rsid w:val="00325658"/>
    <w:rsid w:val="0032725A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692A"/>
    <w:rsid w:val="00361BF0"/>
    <w:rsid w:val="003635B1"/>
    <w:rsid w:val="00363890"/>
    <w:rsid w:val="00363909"/>
    <w:rsid w:val="00365D72"/>
    <w:rsid w:val="00365F5B"/>
    <w:rsid w:val="0037185A"/>
    <w:rsid w:val="00372AA8"/>
    <w:rsid w:val="00374D29"/>
    <w:rsid w:val="003756DC"/>
    <w:rsid w:val="00377838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7577"/>
    <w:rsid w:val="003A0CD6"/>
    <w:rsid w:val="003A1321"/>
    <w:rsid w:val="003A1963"/>
    <w:rsid w:val="003A2670"/>
    <w:rsid w:val="003A26C7"/>
    <w:rsid w:val="003A2BF0"/>
    <w:rsid w:val="003A3FDA"/>
    <w:rsid w:val="003A7E96"/>
    <w:rsid w:val="003B067B"/>
    <w:rsid w:val="003B13C9"/>
    <w:rsid w:val="003B6CFA"/>
    <w:rsid w:val="003C0EBA"/>
    <w:rsid w:val="003C54CE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4932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FD5"/>
    <w:rsid w:val="00491B84"/>
    <w:rsid w:val="004A171A"/>
    <w:rsid w:val="004A38E9"/>
    <w:rsid w:val="004A68E9"/>
    <w:rsid w:val="004B65EF"/>
    <w:rsid w:val="004B6CE4"/>
    <w:rsid w:val="004B7E0E"/>
    <w:rsid w:val="004C2FB4"/>
    <w:rsid w:val="004C5F57"/>
    <w:rsid w:val="004C6967"/>
    <w:rsid w:val="004C7F00"/>
    <w:rsid w:val="004D0F38"/>
    <w:rsid w:val="004D15A4"/>
    <w:rsid w:val="004E0C97"/>
    <w:rsid w:val="004E1997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D33"/>
    <w:rsid w:val="00530E5D"/>
    <w:rsid w:val="00531CF8"/>
    <w:rsid w:val="005347A4"/>
    <w:rsid w:val="00535294"/>
    <w:rsid w:val="0053627D"/>
    <w:rsid w:val="00536F30"/>
    <w:rsid w:val="00540F6A"/>
    <w:rsid w:val="00552F94"/>
    <w:rsid w:val="005623E4"/>
    <w:rsid w:val="00563F02"/>
    <w:rsid w:val="00566EFE"/>
    <w:rsid w:val="00571D16"/>
    <w:rsid w:val="0057596F"/>
    <w:rsid w:val="00586B09"/>
    <w:rsid w:val="00586D81"/>
    <w:rsid w:val="00586D94"/>
    <w:rsid w:val="005878FE"/>
    <w:rsid w:val="0059365C"/>
    <w:rsid w:val="005946EF"/>
    <w:rsid w:val="00597412"/>
    <w:rsid w:val="005A03A5"/>
    <w:rsid w:val="005A0A1E"/>
    <w:rsid w:val="005A1DA7"/>
    <w:rsid w:val="005A332E"/>
    <w:rsid w:val="005A4F51"/>
    <w:rsid w:val="005A5139"/>
    <w:rsid w:val="005A560E"/>
    <w:rsid w:val="005A7416"/>
    <w:rsid w:val="005A7DA7"/>
    <w:rsid w:val="005B1E0C"/>
    <w:rsid w:val="005B2180"/>
    <w:rsid w:val="005B27D9"/>
    <w:rsid w:val="005C1BB8"/>
    <w:rsid w:val="005C1F4F"/>
    <w:rsid w:val="005C7D76"/>
    <w:rsid w:val="005D3E1B"/>
    <w:rsid w:val="005D558D"/>
    <w:rsid w:val="005E0037"/>
    <w:rsid w:val="005E2499"/>
    <w:rsid w:val="005E5583"/>
    <w:rsid w:val="005E578C"/>
    <w:rsid w:val="005F0A48"/>
    <w:rsid w:val="005F7E86"/>
    <w:rsid w:val="00601DD0"/>
    <w:rsid w:val="00601FBB"/>
    <w:rsid w:val="0060504B"/>
    <w:rsid w:val="006060AE"/>
    <w:rsid w:val="00607D58"/>
    <w:rsid w:val="00611C28"/>
    <w:rsid w:val="00615CBC"/>
    <w:rsid w:val="00616370"/>
    <w:rsid w:val="0062180D"/>
    <w:rsid w:val="00621E34"/>
    <w:rsid w:val="00621FC5"/>
    <w:rsid w:val="00624E5D"/>
    <w:rsid w:val="00626822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61A0"/>
    <w:rsid w:val="00666A88"/>
    <w:rsid w:val="00671EAB"/>
    <w:rsid w:val="00674A24"/>
    <w:rsid w:val="00683F57"/>
    <w:rsid w:val="00684B70"/>
    <w:rsid w:val="00684BB4"/>
    <w:rsid w:val="00685E1A"/>
    <w:rsid w:val="00687689"/>
    <w:rsid w:val="00687F6E"/>
    <w:rsid w:val="00691AD6"/>
    <w:rsid w:val="006947DE"/>
    <w:rsid w:val="00694CD9"/>
    <w:rsid w:val="00697DC7"/>
    <w:rsid w:val="006A29CC"/>
    <w:rsid w:val="006A53F2"/>
    <w:rsid w:val="006A58F4"/>
    <w:rsid w:val="006A6108"/>
    <w:rsid w:val="006A7C16"/>
    <w:rsid w:val="006B26DC"/>
    <w:rsid w:val="006B534D"/>
    <w:rsid w:val="006B7FA5"/>
    <w:rsid w:val="006C3CE3"/>
    <w:rsid w:val="006C54F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46B2"/>
    <w:rsid w:val="006F4EDD"/>
    <w:rsid w:val="00705309"/>
    <w:rsid w:val="00705E66"/>
    <w:rsid w:val="007064D1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122A"/>
    <w:rsid w:val="00743342"/>
    <w:rsid w:val="00750727"/>
    <w:rsid w:val="00753661"/>
    <w:rsid w:val="00756989"/>
    <w:rsid w:val="00757D67"/>
    <w:rsid w:val="00757E42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90BCA"/>
    <w:rsid w:val="00793CBF"/>
    <w:rsid w:val="007A1E4E"/>
    <w:rsid w:val="007A3880"/>
    <w:rsid w:val="007A5B73"/>
    <w:rsid w:val="007B142E"/>
    <w:rsid w:val="007B41EC"/>
    <w:rsid w:val="007B54C4"/>
    <w:rsid w:val="007B58F0"/>
    <w:rsid w:val="007C090F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7D5A"/>
    <w:rsid w:val="008040CB"/>
    <w:rsid w:val="00805D41"/>
    <w:rsid w:val="00806C7B"/>
    <w:rsid w:val="0081003D"/>
    <w:rsid w:val="008100DA"/>
    <w:rsid w:val="00813D1A"/>
    <w:rsid w:val="00814DA6"/>
    <w:rsid w:val="00822D4E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EE0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B7FB9"/>
    <w:rsid w:val="008C3DA0"/>
    <w:rsid w:val="008C3FE4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624B"/>
    <w:rsid w:val="009266CD"/>
    <w:rsid w:val="00931E92"/>
    <w:rsid w:val="009324FE"/>
    <w:rsid w:val="009325DF"/>
    <w:rsid w:val="00940473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2F1A"/>
    <w:rsid w:val="00994894"/>
    <w:rsid w:val="00995E78"/>
    <w:rsid w:val="00997C10"/>
    <w:rsid w:val="009A22A4"/>
    <w:rsid w:val="009A2A18"/>
    <w:rsid w:val="009A3D33"/>
    <w:rsid w:val="009A4D0A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3DC"/>
    <w:rsid w:val="00A1033E"/>
    <w:rsid w:val="00A11589"/>
    <w:rsid w:val="00A125C3"/>
    <w:rsid w:val="00A14617"/>
    <w:rsid w:val="00A1778F"/>
    <w:rsid w:val="00A1795F"/>
    <w:rsid w:val="00A20821"/>
    <w:rsid w:val="00A2092D"/>
    <w:rsid w:val="00A2429F"/>
    <w:rsid w:val="00A25ECC"/>
    <w:rsid w:val="00A27BD1"/>
    <w:rsid w:val="00A30D29"/>
    <w:rsid w:val="00A35635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DCA"/>
    <w:rsid w:val="00A80D28"/>
    <w:rsid w:val="00A828DF"/>
    <w:rsid w:val="00A84B98"/>
    <w:rsid w:val="00A90B59"/>
    <w:rsid w:val="00A90F4D"/>
    <w:rsid w:val="00A97C2E"/>
    <w:rsid w:val="00AA1A3F"/>
    <w:rsid w:val="00AA59D2"/>
    <w:rsid w:val="00AA78D0"/>
    <w:rsid w:val="00AB14E2"/>
    <w:rsid w:val="00AB19C7"/>
    <w:rsid w:val="00AB4D6D"/>
    <w:rsid w:val="00AB564E"/>
    <w:rsid w:val="00AB5D0E"/>
    <w:rsid w:val="00AC0606"/>
    <w:rsid w:val="00AC068B"/>
    <w:rsid w:val="00AC1B0A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65D3"/>
    <w:rsid w:val="00AE7DAC"/>
    <w:rsid w:val="00AF4348"/>
    <w:rsid w:val="00AF62AF"/>
    <w:rsid w:val="00B01F55"/>
    <w:rsid w:val="00B03F6F"/>
    <w:rsid w:val="00B04C36"/>
    <w:rsid w:val="00B05122"/>
    <w:rsid w:val="00B057AD"/>
    <w:rsid w:val="00B06138"/>
    <w:rsid w:val="00B06FA1"/>
    <w:rsid w:val="00B118F8"/>
    <w:rsid w:val="00B15F13"/>
    <w:rsid w:val="00B164C8"/>
    <w:rsid w:val="00B206F5"/>
    <w:rsid w:val="00B20E5B"/>
    <w:rsid w:val="00B320D5"/>
    <w:rsid w:val="00B34995"/>
    <w:rsid w:val="00B356CE"/>
    <w:rsid w:val="00B41C4B"/>
    <w:rsid w:val="00B56872"/>
    <w:rsid w:val="00B628DA"/>
    <w:rsid w:val="00B6394D"/>
    <w:rsid w:val="00B63B9E"/>
    <w:rsid w:val="00B67667"/>
    <w:rsid w:val="00B67BCC"/>
    <w:rsid w:val="00B76A12"/>
    <w:rsid w:val="00B778C3"/>
    <w:rsid w:val="00B77C5D"/>
    <w:rsid w:val="00B80EAF"/>
    <w:rsid w:val="00B818AD"/>
    <w:rsid w:val="00B81C71"/>
    <w:rsid w:val="00B82556"/>
    <w:rsid w:val="00B82B28"/>
    <w:rsid w:val="00B86DF1"/>
    <w:rsid w:val="00B872F4"/>
    <w:rsid w:val="00B91063"/>
    <w:rsid w:val="00B91644"/>
    <w:rsid w:val="00B92C88"/>
    <w:rsid w:val="00B93877"/>
    <w:rsid w:val="00B95A26"/>
    <w:rsid w:val="00BA0BCB"/>
    <w:rsid w:val="00BA19C1"/>
    <w:rsid w:val="00BA1C75"/>
    <w:rsid w:val="00BA1D7D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D8A"/>
    <w:rsid w:val="00BF47A5"/>
    <w:rsid w:val="00BF7F87"/>
    <w:rsid w:val="00C04FE5"/>
    <w:rsid w:val="00C05B88"/>
    <w:rsid w:val="00C05BA0"/>
    <w:rsid w:val="00C07A3C"/>
    <w:rsid w:val="00C122B0"/>
    <w:rsid w:val="00C23CB5"/>
    <w:rsid w:val="00C257A3"/>
    <w:rsid w:val="00C278BC"/>
    <w:rsid w:val="00C27BAF"/>
    <w:rsid w:val="00C303E7"/>
    <w:rsid w:val="00C30AE8"/>
    <w:rsid w:val="00C32D79"/>
    <w:rsid w:val="00C34FE8"/>
    <w:rsid w:val="00C44857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E0C"/>
    <w:rsid w:val="00C829D7"/>
    <w:rsid w:val="00C82BDF"/>
    <w:rsid w:val="00C8613F"/>
    <w:rsid w:val="00C87DCD"/>
    <w:rsid w:val="00C91FB8"/>
    <w:rsid w:val="00C93E32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2E85"/>
    <w:rsid w:val="00CD4387"/>
    <w:rsid w:val="00CD45A7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8AF"/>
    <w:rsid w:val="00CF7E70"/>
    <w:rsid w:val="00D00ED5"/>
    <w:rsid w:val="00D01D62"/>
    <w:rsid w:val="00D01DE1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2993"/>
    <w:rsid w:val="00D57C5F"/>
    <w:rsid w:val="00D60C62"/>
    <w:rsid w:val="00D63597"/>
    <w:rsid w:val="00D639C2"/>
    <w:rsid w:val="00D645CA"/>
    <w:rsid w:val="00D7357E"/>
    <w:rsid w:val="00D76731"/>
    <w:rsid w:val="00D77924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434E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235FD"/>
    <w:rsid w:val="00E24ACF"/>
    <w:rsid w:val="00E2715D"/>
    <w:rsid w:val="00E2781A"/>
    <w:rsid w:val="00E31023"/>
    <w:rsid w:val="00E31FA4"/>
    <w:rsid w:val="00E34900"/>
    <w:rsid w:val="00E36CCD"/>
    <w:rsid w:val="00E37404"/>
    <w:rsid w:val="00E43E8F"/>
    <w:rsid w:val="00E45DB2"/>
    <w:rsid w:val="00E574C1"/>
    <w:rsid w:val="00E57FA9"/>
    <w:rsid w:val="00E600DF"/>
    <w:rsid w:val="00E604A4"/>
    <w:rsid w:val="00E6060A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567D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4DE8"/>
    <w:rsid w:val="00ED6400"/>
    <w:rsid w:val="00EE079C"/>
    <w:rsid w:val="00EE1703"/>
    <w:rsid w:val="00EE258B"/>
    <w:rsid w:val="00EF03B9"/>
    <w:rsid w:val="00EF18F2"/>
    <w:rsid w:val="00EF1A29"/>
    <w:rsid w:val="00EF21EF"/>
    <w:rsid w:val="00EF2E69"/>
    <w:rsid w:val="00EF6731"/>
    <w:rsid w:val="00EF69E7"/>
    <w:rsid w:val="00F036DA"/>
    <w:rsid w:val="00F0519A"/>
    <w:rsid w:val="00F104F7"/>
    <w:rsid w:val="00F1113F"/>
    <w:rsid w:val="00F11C8F"/>
    <w:rsid w:val="00F11E1C"/>
    <w:rsid w:val="00F14EFC"/>
    <w:rsid w:val="00F16BCF"/>
    <w:rsid w:val="00F21FE6"/>
    <w:rsid w:val="00F22BA9"/>
    <w:rsid w:val="00F241D8"/>
    <w:rsid w:val="00F24AF1"/>
    <w:rsid w:val="00F2601E"/>
    <w:rsid w:val="00F301D6"/>
    <w:rsid w:val="00F336BA"/>
    <w:rsid w:val="00F46688"/>
    <w:rsid w:val="00F4677F"/>
    <w:rsid w:val="00F46F30"/>
    <w:rsid w:val="00F52089"/>
    <w:rsid w:val="00F52BAA"/>
    <w:rsid w:val="00F531B8"/>
    <w:rsid w:val="00F54E37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70A5"/>
    <w:rsid w:val="00F85CF1"/>
    <w:rsid w:val="00F92150"/>
    <w:rsid w:val="00FA00B6"/>
    <w:rsid w:val="00FA2AB1"/>
    <w:rsid w:val="00FA4DC2"/>
    <w:rsid w:val="00FA52F7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D2727"/>
    <w:rsid w:val="00FD2ED4"/>
    <w:rsid w:val="00FD3A80"/>
    <w:rsid w:val="00FD5587"/>
    <w:rsid w:val="00FD6869"/>
    <w:rsid w:val="00FF1AB3"/>
    <w:rsid w:val="00FF4746"/>
    <w:rsid w:val="00FF4788"/>
    <w:rsid w:val="00FF52A7"/>
    <w:rsid w:val="00FF6376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35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2A52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2A52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523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5235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523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A52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2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4308</Words>
  <Characters>24561</Characters>
  <Application>Microsoft Office Word</Application>
  <DocSecurity>0</DocSecurity>
  <Lines>204</Lines>
  <Paragraphs>57</Paragraphs>
  <ScaleCrop>false</ScaleCrop>
  <Company>SPecialiST RePack</Company>
  <LinksUpToDate>false</LinksUpToDate>
  <CharactersWithSpaces>28812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2016-04-03T19:37:00Z</dcterms:created>
  <dcterms:modified xsi:type="dcterms:W3CDTF">2016-04-03T19:38:00Z</dcterms:modified>
</cp:coreProperties>
</file>