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F3" w:rsidRPr="00D837F3" w:rsidRDefault="00D837F3" w:rsidP="00D837F3">
      <w:pPr>
        <w:spacing w:before="100" w:beforeAutospacing="1" w:after="100" w:afterAutospacing="1" w:line="240" w:lineRule="auto"/>
        <w:outlineLvl w:val="1"/>
        <w:rPr>
          <w:rFonts w:ascii="Times New Roman" w:eastAsia="Times New Roman" w:hAnsi="Times New Roman" w:cs="Times New Roman"/>
          <w:b/>
          <w:bCs/>
          <w:sz w:val="36"/>
          <w:szCs w:val="36"/>
          <w:lang w:val="ru-RU" w:eastAsia="ru-RU"/>
        </w:rPr>
      </w:pPr>
      <w:bookmarkStart w:id="0" w:name="_GoBack"/>
      <w:bookmarkEnd w:id="0"/>
      <w:r w:rsidRPr="00D837F3">
        <w:rPr>
          <w:rFonts w:ascii="Times New Roman" w:eastAsia="Times New Roman" w:hAnsi="Times New Roman" w:cs="Times New Roman"/>
          <w:b/>
          <w:bCs/>
          <w:sz w:val="36"/>
          <w:szCs w:val="36"/>
          <w:lang w:val="ru-RU" w:eastAsia="ru-RU"/>
        </w:rPr>
        <w:t>Фінансова звітність малого підприємства</w:t>
      </w:r>
    </w:p>
    <w:p w:rsidR="00D837F3" w:rsidRPr="00D837F3" w:rsidRDefault="00D837F3" w:rsidP="00D837F3">
      <w:pPr>
        <w:spacing w:before="100" w:beforeAutospacing="1" w:after="100" w:afterAutospacing="1" w:line="240" w:lineRule="auto"/>
        <w:outlineLvl w:val="2"/>
        <w:rPr>
          <w:rFonts w:ascii="Times New Roman" w:eastAsia="Times New Roman" w:hAnsi="Times New Roman" w:cs="Times New Roman"/>
          <w:b/>
          <w:bCs/>
          <w:sz w:val="27"/>
          <w:szCs w:val="27"/>
          <w:lang w:val="ru-RU" w:eastAsia="ru-RU"/>
        </w:rPr>
      </w:pPr>
      <w:r w:rsidRPr="00D837F3">
        <w:rPr>
          <w:rFonts w:ascii="Times New Roman" w:eastAsia="Times New Roman" w:hAnsi="Times New Roman" w:cs="Times New Roman"/>
          <w:b/>
          <w:bCs/>
          <w:sz w:val="27"/>
          <w:szCs w:val="27"/>
          <w:lang w:val="ru-RU" w:eastAsia="ru-RU"/>
        </w:rPr>
        <w:t>Баланс (Форма № 1-м)</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2"/>
        <w:gridCol w:w="757"/>
        <w:gridCol w:w="2112"/>
        <w:gridCol w:w="4401"/>
      </w:tblGrid>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Актив</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Код рядка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Сальдо рахунку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Порядок заповнення згідно з НП(С)БО 25</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4</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I. Необоротні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after="0" w:line="240" w:lineRule="auto"/>
              <w:rPr>
                <w:rFonts w:ascii="Times New Roman" w:eastAsia="Times New Roman" w:hAnsi="Times New Roman" w:cs="Times New Roman"/>
                <w:sz w:val="24"/>
                <w:szCs w:val="24"/>
                <w:lang w:val="ru-RU" w:eastAsia="ru-RU"/>
              </w:rPr>
            </w:pP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Нематеріальні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р. 1001 – р. 1002 включається в підсумок балансу</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Відображається вартість об’єктів, віднесених </w:t>
            </w:r>
            <w:proofErr w:type="gramStart"/>
            <w:r w:rsidRPr="00D837F3">
              <w:rPr>
                <w:rFonts w:ascii="Times New Roman" w:eastAsia="Times New Roman" w:hAnsi="Times New Roman" w:cs="Times New Roman"/>
                <w:sz w:val="24"/>
                <w:szCs w:val="24"/>
                <w:lang w:val="ru-RU" w:eastAsia="ru-RU"/>
              </w:rPr>
              <w:t>до складу</w:t>
            </w:r>
            <w:proofErr w:type="gramEnd"/>
            <w:r w:rsidRPr="00D837F3">
              <w:rPr>
                <w:rFonts w:ascii="Times New Roman" w:eastAsia="Times New Roman" w:hAnsi="Times New Roman" w:cs="Times New Roman"/>
                <w:sz w:val="24"/>
                <w:szCs w:val="24"/>
                <w:lang w:val="ru-RU" w:eastAsia="ru-RU"/>
              </w:rPr>
              <w:t xml:space="preserve"> нематеріальних активів (далі – НА; пп. 2.1 п. 2 розд. ІІ НП(С)БО 25)</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Наводиться сума залишкової вартості, яка включається в підсумок балансу</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Первісна вартість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Наводиться сума первісної вартості НА (крім гудвілу) (визначається згідно з п. 10-18 П(С)БО 8)</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Накопичена амортизація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Сума накопиченої амортизації об’єкта НА з початку його корисноговикористання (п.25-31 П(С)БО 8)</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Незавершені капітальні інвестиції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Відображається вартість незавершених на дату балансу капітальних інвестицій в необоротні активи на будівництво, реконструкцію, модернізацію (інші поліпшення, що збільшують первісну (переоцінену) вартість), виготовлення, придбання об’єктів матеріальних необоротних активів (у т. ч.необоротних матеріальних активів, призначених для заміни діючих, і устаткування </w:t>
            </w:r>
            <w:proofErr w:type="gramStart"/>
            <w:r w:rsidRPr="00D837F3">
              <w:rPr>
                <w:rFonts w:ascii="Times New Roman" w:eastAsia="Times New Roman" w:hAnsi="Times New Roman" w:cs="Times New Roman"/>
                <w:sz w:val="24"/>
                <w:szCs w:val="24"/>
                <w:lang w:val="ru-RU" w:eastAsia="ru-RU"/>
              </w:rPr>
              <w:t>для монтажу</w:t>
            </w:r>
            <w:proofErr w:type="gramEnd"/>
            <w:r w:rsidRPr="00D837F3">
              <w:rPr>
                <w:rFonts w:ascii="Times New Roman" w:eastAsia="Times New Roman" w:hAnsi="Times New Roman" w:cs="Times New Roman"/>
                <w:sz w:val="24"/>
                <w:szCs w:val="24"/>
                <w:lang w:val="ru-RU" w:eastAsia="ru-RU"/>
              </w:rPr>
              <w:t>) (п. 2.2 п. 2 розд. ІІ).</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За дебетом рахунку </w:t>
            </w:r>
            <w:r w:rsidRPr="00D837F3">
              <w:rPr>
                <w:rFonts w:ascii="Times New Roman" w:eastAsia="Times New Roman" w:hAnsi="Times New Roman" w:cs="Times New Roman"/>
                <w:b/>
                <w:bCs/>
                <w:sz w:val="24"/>
                <w:szCs w:val="24"/>
                <w:lang w:val="ru-RU" w:eastAsia="ru-RU"/>
              </w:rPr>
              <w:t xml:space="preserve">15 </w:t>
            </w:r>
            <w:r w:rsidRPr="00D837F3">
              <w:rPr>
                <w:rFonts w:ascii="Times New Roman" w:eastAsia="Times New Roman" w:hAnsi="Times New Roman" w:cs="Times New Roman"/>
                <w:sz w:val="24"/>
                <w:szCs w:val="24"/>
                <w:lang w:val="ru-RU" w:eastAsia="ru-RU"/>
              </w:rPr>
              <w:t>«Капітальні інвестиції» відображається збільшення зазнаних витрат на придбання або створення матеріальних та нематеріальних необоротних активів, за кредитом — їх зменшення (уведення в дію, прийняття в експлуатацію придбаних або створених НА тощо) (Інструкція по застосуванню плану рахунків від 30.11.99 р. № 291 (далі – Інструкція № 291).</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Основні засоби: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Р. 1011 – р. 1012 + сальдо Дт субрахунку 100</w:t>
            </w:r>
            <w:r w:rsidRPr="00D837F3">
              <w:rPr>
                <w:rFonts w:ascii="Times New Roman" w:eastAsia="Times New Roman" w:hAnsi="Times New Roman" w:cs="Times New Roman"/>
                <w:sz w:val="24"/>
                <w:szCs w:val="24"/>
                <w:lang w:val="ru-RU" w:eastAsia="ru-RU"/>
              </w:rPr>
              <w:t xml:space="preserve"> у </w:t>
            </w:r>
            <w:r w:rsidRPr="00D837F3">
              <w:rPr>
                <w:rFonts w:ascii="Times New Roman" w:eastAsia="Times New Roman" w:hAnsi="Times New Roman" w:cs="Times New Roman"/>
                <w:sz w:val="24"/>
                <w:szCs w:val="24"/>
                <w:lang w:val="ru-RU" w:eastAsia="ru-RU"/>
              </w:rPr>
              <w:lastRenderedPageBreak/>
              <w:t>частині інвестиційної нерухомості, що обліковується за справедливою вартістю</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Включається в підсумок балансу</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lastRenderedPageBreak/>
              <w:t>Наводиться вартість (згідно з пп. 2.3 п. 2 розд. ІІ):</w:t>
            </w:r>
          </w:p>
          <w:p w:rsidR="00D837F3" w:rsidRPr="00D837F3" w:rsidRDefault="00D837F3" w:rsidP="00D837F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lastRenderedPageBreak/>
              <w:t>власних ОЗ;</w:t>
            </w:r>
          </w:p>
          <w:p w:rsidR="00D837F3" w:rsidRPr="00D837F3" w:rsidRDefault="00D837F3" w:rsidP="00D837F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отриманих на умовах фінансового лізингу;</w:t>
            </w:r>
          </w:p>
          <w:p w:rsidR="00D837F3" w:rsidRPr="00D837F3" w:rsidRDefault="00D837F3" w:rsidP="00D837F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отриманих на умовах довірчого управління об’єктів і орендованих цілісних державних майнових комплексів, які віднесені </w:t>
            </w:r>
            <w:proofErr w:type="gramStart"/>
            <w:r w:rsidRPr="00D837F3">
              <w:rPr>
                <w:rFonts w:ascii="Times New Roman" w:eastAsia="Times New Roman" w:hAnsi="Times New Roman" w:cs="Times New Roman"/>
                <w:sz w:val="24"/>
                <w:szCs w:val="24"/>
                <w:lang w:val="ru-RU" w:eastAsia="ru-RU"/>
              </w:rPr>
              <w:t>до складу</w:t>
            </w:r>
            <w:proofErr w:type="gramEnd"/>
            <w:r w:rsidRPr="00D837F3">
              <w:rPr>
                <w:rFonts w:ascii="Times New Roman" w:eastAsia="Times New Roman" w:hAnsi="Times New Roman" w:cs="Times New Roman"/>
                <w:sz w:val="24"/>
                <w:szCs w:val="24"/>
                <w:lang w:val="ru-RU" w:eastAsia="ru-RU"/>
              </w:rPr>
              <w:t xml:space="preserve"> ОЗ;</w:t>
            </w:r>
          </w:p>
          <w:p w:rsidR="00D837F3" w:rsidRPr="00D837F3" w:rsidRDefault="00D837F3" w:rsidP="00D837F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інших необоротних матеріальних активів;</w:t>
            </w:r>
          </w:p>
          <w:p w:rsidR="00D837F3" w:rsidRPr="00D837F3" w:rsidRDefault="00D837F3" w:rsidP="00D837F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майна, отриманого державними (казенними) та комунальнимиі підприємствами на праві господарського відання чи праві оперативного управління;</w:t>
            </w:r>
          </w:p>
          <w:p w:rsidR="00D837F3" w:rsidRPr="00D837F3" w:rsidRDefault="00D837F3" w:rsidP="00D837F3">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справедлива вартість об’єктів інвестиційної нерухомості.</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залишкова вартість ОЗ, яка включається в підсумок балансу.</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Облік ОЗ здійснюється відповідно до П(С)БО 7 та Методичних рекомендацій з бухгалтерського обліку основних засобів, затверджених наказом Мінфіну від 30.09.03 р. № 561.</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lastRenderedPageBreak/>
              <w:t>Первісна вартість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10, 11</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i/>
                <w:iCs/>
                <w:sz w:val="24"/>
                <w:szCs w:val="24"/>
                <w:lang w:val="ru-RU" w:eastAsia="ru-RU"/>
              </w:rPr>
              <w:t>(крім сальдо ДТ субрахунку 100 у частині інвестиційної нерухомості, що обліковується за справедливою вартістю)</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Наводиться первісна (переоцінена) вартість ОЗ та інших необоротних матеріальних активів, а також первісна вартість інвестиційної нерухомості, якщо не можна достовірно визначити її справедливу вартість (п. 16 П(С)БО 32).</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Знос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131, 132, 135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Наводиться знос ОЗ та інших необоротних матеріальних активів, а також інвестиційної нерухомості, яка обліковується за первісною вартістю (абзац другий пп. 2.3 п. 2 розд. II)</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Довгострокові біологічні активи (ДБА)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1020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161, 163, 165</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або</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162, 164, 166</w:t>
            </w:r>
            <w:r w:rsidRPr="00D837F3">
              <w:rPr>
                <w:rFonts w:ascii="Times New Roman" w:eastAsia="Times New Roman" w:hAnsi="Times New Roman" w:cs="Times New Roman"/>
                <w:sz w:val="24"/>
                <w:szCs w:val="24"/>
                <w:lang w:val="ru-RU" w:eastAsia="ru-RU"/>
              </w:rPr>
              <w:t xml:space="preserve"> – Сальдо </w:t>
            </w:r>
            <w:r w:rsidRPr="00D837F3">
              <w:rPr>
                <w:rFonts w:ascii="Times New Roman" w:eastAsia="Times New Roman" w:hAnsi="Times New Roman" w:cs="Times New Roman"/>
                <w:b/>
                <w:bCs/>
                <w:sz w:val="24"/>
                <w:szCs w:val="24"/>
                <w:lang w:val="ru-RU" w:eastAsia="ru-RU"/>
              </w:rPr>
              <w:t>Кт 134</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Наводиться справедлива вартість ДБА (сальдо Дт субрахунків </w:t>
            </w:r>
            <w:r w:rsidRPr="00D837F3">
              <w:rPr>
                <w:rFonts w:ascii="Times New Roman" w:eastAsia="Times New Roman" w:hAnsi="Times New Roman" w:cs="Times New Roman"/>
                <w:b/>
                <w:bCs/>
                <w:sz w:val="24"/>
                <w:szCs w:val="24"/>
                <w:lang w:val="ru-RU" w:eastAsia="ru-RU"/>
              </w:rPr>
              <w:t xml:space="preserve">161, 163, 165 </w:t>
            </w:r>
            <w:r w:rsidRPr="00D837F3">
              <w:rPr>
                <w:rFonts w:ascii="Times New Roman" w:eastAsia="Times New Roman" w:hAnsi="Times New Roman" w:cs="Times New Roman"/>
                <w:sz w:val="24"/>
                <w:szCs w:val="24"/>
                <w:lang w:val="ru-RU" w:eastAsia="ru-RU"/>
              </w:rPr>
              <w:t>відповідно до Інструкції № 291).</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У разі якщо ДБА обліковуються за первісною вартістю, у цій статті наводиться їх залишкова вартість, яка включається до підсумку балансу (Сальдо Дт субрахунків </w:t>
            </w:r>
            <w:r w:rsidRPr="00D837F3">
              <w:rPr>
                <w:rFonts w:ascii="Times New Roman" w:eastAsia="Times New Roman" w:hAnsi="Times New Roman" w:cs="Times New Roman"/>
                <w:b/>
                <w:bCs/>
                <w:sz w:val="24"/>
                <w:szCs w:val="24"/>
                <w:lang w:val="ru-RU" w:eastAsia="ru-RU"/>
              </w:rPr>
              <w:t xml:space="preserve">162, 164, 166 </w:t>
            </w:r>
            <w:r w:rsidRPr="00D837F3">
              <w:rPr>
                <w:rFonts w:ascii="Times New Roman" w:eastAsia="Times New Roman" w:hAnsi="Times New Roman" w:cs="Times New Roman"/>
                <w:sz w:val="24"/>
                <w:szCs w:val="24"/>
                <w:lang w:val="ru-RU" w:eastAsia="ru-RU"/>
              </w:rPr>
              <w:t>– Сальдо Кт</w:t>
            </w:r>
            <w:r w:rsidRPr="00D837F3">
              <w:rPr>
                <w:rFonts w:ascii="Times New Roman" w:eastAsia="Times New Roman" w:hAnsi="Times New Roman" w:cs="Times New Roman"/>
                <w:b/>
                <w:bCs/>
                <w:sz w:val="24"/>
                <w:szCs w:val="24"/>
                <w:lang w:val="ru-RU" w:eastAsia="ru-RU"/>
              </w:rPr>
              <w:t xml:space="preserve"> 134</w:t>
            </w:r>
            <w:r w:rsidRPr="00D837F3">
              <w:rPr>
                <w:rFonts w:ascii="Times New Roman" w:eastAsia="Times New Roman" w:hAnsi="Times New Roman" w:cs="Times New Roman"/>
                <w:sz w:val="24"/>
                <w:szCs w:val="24"/>
                <w:lang w:val="ru-RU" w:eastAsia="ru-RU"/>
              </w:rPr>
              <w:t>) (пп. 2.4. п. 2 розд. ІІ).</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lastRenderedPageBreak/>
              <w:t>Обліковуючи ДБА, слід зважати, що згідно з Інструкцією № 291 рахунок 16 «Довгострокові біологічні активи» призначено для обліку ДБА, крім плодоносних рослин, які обліковуються на рахунку 10 «Основні засоби».</w:t>
            </w:r>
          </w:p>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Згідно з додатком до П(С)БО 30 до ДБА, на які поширюється дія П(С)БО 30, належать лише дерева в лісі (лісовий масив), а облік плодоноснихрослин (виноградники, сади) регулюється іншими П(С)БО (п. 3.4.).</w:t>
            </w:r>
          </w:p>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Облік плодоносних рослин регулюється П(С)БО 7, зокрема для цілей бухобліку ОЗ класифікуються за групами, серед яких група «Основні засоби» і підгрупа 5.1.8. «Багаторічні насадження та плодоносні рослини». На рахунку 108 «Багаторічні насадження» ведеться облік ДБА, у тому числі багаторічних насаджень, які не пов’язані із сільськогосподарською діяльністю, та плодоносних рослин, які пов’язані із сільськогосподарською діяльністю»</w:t>
            </w:r>
          </w:p>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Визначення поняття «плодоносні рослини» – ДБА, які використовуються в процесі виробництва сільгосппродукції та систематично надають сільгосппродукцію та/або додаткові біологічні активи, наведено в п. 4 П(С)БО 30, але їх облік регулюється П(С)БО 7.</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Довгострокові фінансові інвестиції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Відображаються фінінвестиції на період більше одного року, а також усі інші фінінвестиції, які не можуть бути вільно реалізовані </w:t>
            </w:r>
            <w:proofErr w:type="gramStart"/>
            <w:r w:rsidRPr="00D837F3">
              <w:rPr>
                <w:rFonts w:ascii="Times New Roman" w:eastAsia="Times New Roman" w:hAnsi="Times New Roman" w:cs="Times New Roman"/>
                <w:sz w:val="24"/>
                <w:szCs w:val="24"/>
                <w:lang w:val="ru-RU" w:eastAsia="ru-RU"/>
              </w:rPr>
              <w:t>в будь</w:t>
            </w:r>
            <w:proofErr w:type="gramEnd"/>
            <w:r w:rsidRPr="00D837F3">
              <w:rPr>
                <w:rFonts w:ascii="Times New Roman" w:eastAsia="Times New Roman" w:hAnsi="Times New Roman" w:cs="Times New Roman"/>
                <w:sz w:val="24"/>
                <w:szCs w:val="24"/>
                <w:lang w:val="ru-RU" w:eastAsia="ru-RU"/>
              </w:rPr>
              <w:t>-який час (пп. 2.5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Інші необоротні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1090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18,19 (17*)</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Наводяться суми інших необоротних активів, які не можуть бути включені до згаданих вище статей розділу «Необоротні активи»</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 У разі переходу підприємств на застосування НП(С)БО 25 до цієї статті на початок звітного року також включаються дані, наведені у статті «Відстрочені податкові активи» (ряд. 1045) Балансу (форма № 1) на кінець попереднього року (пп. 2.6 п. 2 розд. ІІ НП(С)БО 25)</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Усього за розділом I</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1095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after="0" w:line="240" w:lineRule="auto"/>
              <w:rPr>
                <w:rFonts w:ascii="Times New Roman" w:eastAsia="Times New Roman" w:hAnsi="Times New Roman" w:cs="Times New Roman"/>
                <w:sz w:val="24"/>
                <w:szCs w:val="24"/>
                <w:lang w:val="ru-RU" w:eastAsia="ru-RU"/>
              </w:rPr>
            </w:pP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Відображається загальна сума за розд. I. Необоротні активи:</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р. 1000 + р. 1005 + р. 1010 + р. 1020 + р. 1030 + р. 1090 = р. 1095</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II. Оборотні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after="0" w:line="240" w:lineRule="auto"/>
              <w:rPr>
                <w:rFonts w:ascii="Times New Roman" w:eastAsia="Times New Roman" w:hAnsi="Times New Roman" w:cs="Times New Roman"/>
                <w:sz w:val="24"/>
                <w:szCs w:val="24"/>
                <w:lang w:val="ru-RU" w:eastAsia="ru-RU"/>
              </w:rPr>
            </w:pP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Запаси:</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(включається у підсумок балансу)</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20, 22, 23, 25-28</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(не враховується сальдо Дт </w:t>
            </w:r>
            <w:r w:rsidRPr="00D837F3">
              <w:rPr>
                <w:rFonts w:ascii="Times New Roman" w:eastAsia="Times New Roman" w:hAnsi="Times New Roman" w:cs="Times New Roman"/>
                <w:b/>
                <w:bCs/>
                <w:sz w:val="24"/>
                <w:szCs w:val="24"/>
                <w:lang w:val="ru-RU" w:eastAsia="ru-RU"/>
              </w:rPr>
              <w:t xml:space="preserve">286 </w:t>
            </w:r>
            <w:r w:rsidRPr="00D837F3">
              <w:rPr>
                <w:rFonts w:ascii="Times New Roman" w:eastAsia="Times New Roman" w:hAnsi="Times New Roman" w:cs="Times New Roman"/>
                <w:sz w:val="24"/>
                <w:szCs w:val="24"/>
                <w:lang w:val="ru-RU" w:eastAsia="ru-RU"/>
              </w:rPr>
              <w:t xml:space="preserve">«Необоротні активи та групи вибуття, утримувані </w:t>
            </w:r>
            <w:proofErr w:type="gramStart"/>
            <w:r w:rsidRPr="00D837F3">
              <w:rPr>
                <w:rFonts w:ascii="Times New Roman" w:eastAsia="Times New Roman" w:hAnsi="Times New Roman" w:cs="Times New Roman"/>
                <w:sz w:val="24"/>
                <w:szCs w:val="24"/>
                <w:lang w:val="ru-RU" w:eastAsia="ru-RU"/>
              </w:rPr>
              <w:t>для продажу</w:t>
            </w:r>
            <w:proofErr w:type="gramEnd"/>
            <w:r w:rsidRPr="00D837F3">
              <w:rPr>
                <w:rFonts w:ascii="Times New Roman" w:eastAsia="Times New Roman" w:hAnsi="Times New Roman" w:cs="Times New Roman"/>
                <w:sz w:val="24"/>
                <w:szCs w:val="24"/>
                <w:lang w:val="ru-RU"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вартість (пп. 2.7 п. 2 розд. ІІ):</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запасів сировини;</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основних і допоміжних матеріалів;</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палива;</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покупних напівфабрикатів і комплектувальних виробів;</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запасних частин;</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тари (крім інвентарної);</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будівельних матеріалів;</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інших матеріалів, призначених для використання в ході нормального операційного циклу;</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lastRenderedPageBreak/>
              <w:t>витрат на незавершене виробництво і незавершені роботи (послуги);</w:t>
            </w:r>
          </w:p>
          <w:p w:rsidR="00D837F3" w:rsidRPr="00D837F3" w:rsidRDefault="00D837F3" w:rsidP="00D837F3">
            <w:pPr>
              <w:numPr>
                <w:ilvl w:val="0"/>
                <w:numId w:val="6"/>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валова заборгованість замовників за будівельними контрактами</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lastRenderedPageBreak/>
              <w:t>У тому числі готова продукція (у підсумок балансу не включається)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1103</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Сальдо</w:t>
            </w:r>
            <w:r w:rsidRPr="00D837F3">
              <w:rPr>
                <w:rFonts w:ascii="Times New Roman" w:eastAsia="Times New Roman" w:hAnsi="Times New Roman" w:cs="Times New Roman"/>
                <w:b/>
                <w:bCs/>
                <w:sz w:val="24"/>
                <w:szCs w:val="24"/>
                <w:lang w:val="ru-RU" w:eastAsia="ru-RU"/>
              </w:rPr>
              <w:t xml:space="preserve"> Дт 26, 27, 28</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(не враховується сальдо Дт </w:t>
            </w:r>
            <w:r w:rsidRPr="00D837F3">
              <w:rPr>
                <w:rFonts w:ascii="Times New Roman" w:eastAsia="Times New Roman" w:hAnsi="Times New Roman" w:cs="Times New Roman"/>
                <w:b/>
                <w:bCs/>
                <w:sz w:val="24"/>
                <w:szCs w:val="24"/>
                <w:lang w:val="ru-RU" w:eastAsia="ru-RU"/>
              </w:rPr>
              <w:t xml:space="preserve">286 </w:t>
            </w:r>
            <w:r w:rsidRPr="00D837F3">
              <w:rPr>
                <w:rFonts w:ascii="Times New Roman" w:eastAsia="Times New Roman" w:hAnsi="Times New Roman" w:cs="Times New Roman"/>
                <w:sz w:val="24"/>
                <w:szCs w:val="24"/>
                <w:lang w:val="ru-RU" w:eastAsia="ru-RU"/>
              </w:rPr>
              <w:t xml:space="preserve">«Необоротні активи та групи вибуття, утримувані </w:t>
            </w:r>
            <w:proofErr w:type="gramStart"/>
            <w:r w:rsidRPr="00D837F3">
              <w:rPr>
                <w:rFonts w:ascii="Times New Roman" w:eastAsia="Times New Roman" w:hAnsi="Times New Roman" w:cs="Times New Roman"/>
                <w:sz w:val="24"/>
                <w:szCs w:val="24"/>
                <w:lang w:val="ru-RU" w:eastAsia="ru-RU"/>
              </w:rPr>
              <w:t>для продажу</w:t>
            </w:r>
            <w:proofErr w:type="gramEnd"/>
            <w:r w:rsidRPr="00D837F3">
              <w:rPr>
                <w:rFonts w:ascii="Times New Roman" w:eastAsia="Times New Roman" w:hAnsi="Times New Roman" w:cs="Times New Roman"/>
                <w:sz w:val="24"/>
                <w:szCs w:val="24"/>
                <w:lang w:val="ru-RU"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w:t>
            </w:r>
          </w:p>
          <w:p w:rsidR="00D837F3" w:rsidRPr="00D837F3" w:rsidRDefault="00D837F3" w:rsidP="00D837F3">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готова продукція, в якій наводиться собівартість виробів на складі, обробка яких закінчена та які пройшли випробування, приймання;</w:t>
            </w:r>
          </w:p>
          <w:p w:rsidR="00D837F3" w:rsidRPr="00D837F3" w:rsidRDefault="00D837F3" w:rsidP="00D837F3">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сільськогосподарська продукція;</w:t>
            </w:r>
          </w:p>
          <w:p w:rsidR="00D837F3" w:rsidRPr="00D837F3" w:rsidRDefault="00D837F3" w:rsidP="00D837F3">
            <w:pPr>
              <w:numPr>
                <w:ilvl w:val="0"/>
                <w:numId w:val="7"/>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покупна вартість товарів, придбаних підприємствами для подальшого продажу</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Поточні біологічні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вартість поточних біологічних активів тваринництва (дорослі тварини на відгодівлі та в нагулі, птиця, звірі, кролі, дорослі тварини, вибракувані з основного стада для реалізації, молодняк тварин на вирощуванні і відгодівлі), а також рослинництва (зернові, технічні, овочеві та інші культури), облік яких ведеться відповідно до П(С) 30 (пп. 2.8. п. 2 розд. ІІ).</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 xml:space="preserve">* Якщо біологічний актив не використовується в сільгоспдіяльності та утримується </w:t>
            </w:r>
            <w:proofErr w:type="gramStart"/>
            <w:r w:rsidRPr="00D837F3">
              <w:rPr>
                <w:rFonts w:ascii="Times New Roman" w:eastAsia="Times New Roman" w:hAnsi="Times New Roman" w:cs="Times New Roman"/>
                <w:b/>
                <w:bCs/>
                <w:sz w:val="20"/>
                <w:szCs w:val="20"/>
                <w:lang w:val="ru-RU" w:eastAsia="ru-RU"/>
              </w:rPr>
              <w:t>для продажу</w:t>
            </w:r>
            <w:proofErr w:type="gramEnd"/>
            <w:r w:rsidRPr="00D837F3">
              <w:rPr>
                <w:rFonts w:ascii="Times New Roman" w:eastAsia="Times New Roman" w:hAnsi="Times New Roman" w:cs="Times New Roman"/>
                <w:b/>
                <w:bCs/>
                <w:sz w:val="20"/>
                <w:szCs w:val="20"/>
                <w:lang w:val="ru-RU" w:eastAsia="ru-RU"/>
              </w:rPr>
              <w:t xml:space="preserve"> або напрям його використання не визначено, то на нього не поширюється дія П(С)БО 30, про що зазначено в п. 3.3 цього стандарту, і він визнається запасом та відображається в ряд. 1100 (п. 2.2 розд. 2 Методичних рекомендацій з бухгалтерського обліку біологічних активів, затверджених наказом Мінфіну від 29.12.06 р. №1315).</w:t>
            </w:r>
          </w:p>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Якщо біологічний актив використовується в іншій діяльності, ніж сільськогосподарська, та очікуваний строк його використання більше одного року (або операційного циклу, якщо він довший за рік), то він визнається основним засобом та відображається в ряд. 1010.</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Дебіторська заборгованість за товари, роботи, послуги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1125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Сальдо Дт</w:t>
            </w:r>
            <w:r w:rsidRPr="00D837F3">
              <w:rPr>
                <w:rFonts w:ascii="Times New Roman" w:eastAsia="Times New Roman" w:hAnsi="Times New Roman" w:cs="Times New Roman"/>
                <w:b/>
                <w:bCs/>
                <w:sz w:val="24"/>
                <w:szCs w:val="24"/>
                <w:lang w:val="ru-RU" w:eastAsia="ru-RU"/>
              </w:rPr>
              <w:t xml:space="preserve"> 34, 36</w:t>
            </w:r>
            <w:r w:rsidRPr="00D837F3">
              <w:rPr>
                <w:rFonts w:ascii="Times New Roman" w:eastAsia="Times New Roman" w:hAnsi="Times New Roman" w:cs="Times New Roman"/>
                <w:sz w:val="24"/>
                <w:szCs w:val="24"/>
                <w:lang w:val="ru-RU" w:eastAsia="ru-RU"/>
              </w:rPr>
              <w:t xml:space="preserve"> </w:t>
            </w:r>
            <w:r w:rsidRPr="00D837F3">
              <w:rPr>
                <w:rFonts w:ascii="Times New Roman" w:eastAsia="Times New Roman" w:hAnsi="Times New Roman" w:cs="Times New Roman"/>
                <w:b/>
                <w:bCs/>
                <w:sz w:val="24"/>
                <w:szCs w:val="24"/>
                <w:lang w:val="ru-RU" w:eastAsia="ru-RU"/>
              </w:rPr>
              <w:t xml:space="preserve">за мінусом </w:t>
            </w:r>
            <w:r w:rsidRPr="00D837F3">
              <w:rPr>
                <w:rFonts w:ascii="Times New Roman" w:eastAsia="Times New Roman" w:hAnsi="Times New Roman" w:cs="Times New Roman"/>
                <w:sz w:val="24"/>
                <w:szCs w:val="24"/>
                <w:lang w:val="ru-RU" w:eastAsia="ru-RU"/>
              </w:rPr>
              <w:t>Сальдо Кт</w:t>
            </w:r>
            <w:r w:rsidRPr="00D837F3">
              <w:rPr>
                <w:rFonts w:ascii="Times New Roman" w:eastAsia="Times New Roman" w:hAnsi="Times New Roman" w:cs="Times New Roman"/>
                <w:b/>
                <w:bCs/>
                <w:sz w:val="24"/>
                <w:szCs w:val="24"/>
                <w:lang w:val="ru-RU" w:eastAsia="ru-RU"/>
              </w:rPr>
              <w:t xml:space="preserve"> 38</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заборгованість покупців або замовників за реалізовані їм продукцію, товари, роботи або послуги, включаючи забезпечену векселями заборгованість, яка скоригована на резерв сумнівних боргів (нетто), що відноситься до заборгованості за продукцію, товари, роботи, послуги, включаючи забезпечену векселями (пп. 2.9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Дебіторська заборгованість за розрахунками з бюджетом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1135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378, 641, 642, 651, 652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Відображається визнана дебіторською заборгованість казначейських, фінансових і податкових органів, державних цільових фондів, зокрема за </w:t>
            </w:r>
            <w:r w:rsidRPr="00D837F3">
              <w:rPr>
                <w:rFonts w:ascii="Times New Roman" w:eastAsia="Times New Roman" w:hAnsi="Times New Roman" w:cs="Times New Roman"/>
                <w:sz w:val="24"/>
                <w:szCs w:val="24"/>
                <w:lang w:val="ru-RU" w:eastAsia="ru-RU"/>
              </w:rPr>
              <w:lastRenderedPageBreak/>
              <w:t>розрахунками з тимчасової непрацездатності (пп. 2.10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lastRenderedPageBreak/>
              <w:t>У тому числі з податку на прибуток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1136</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 xml:space="preserve">641 </w:t>
            </w:r>
            <w:r w:rsidRPr="00D837F3">
              <w:rPr>
                <w:rFonts w:ascii="Times New Roman" w:eastAsia="Times New Roman" w:hAnsi="Times New Roman" w:cs="Times New Roman"/>
                <w:sz w:val="24"/>
                <w:szCs w:val="24"/>
                <w:lang w:val="ru-RU" w:eastAsia="ru-RU"/>
              </w:rPr>
              <w:t>«Розрахунки за податком на прибуток»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Наводиться ДЗ з податку на прибуток (не включається в підсумок балансу).</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Інша поточна дебіторська заборгованість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1155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 xml:space="preserve">37 </w:t>
            </w:r>
            <w:r w:rsidRPr="00D837F3">
              <w:rPr>
                <w:rFonts w:ascii="Times New Roman" w:eastAsia="Times New Roman" w:hAnsi="Times New Roman" w:cs="Times New Roman"/>
                <w:sz w:val="24"/>
                <w:szCs w:val="24"/>
                <w:lang w:val="ru-RU" w:eastAsia="ru-RU"/>
              </w:rPr>
              <w:t xml:space="preserve">(не враховувати сальдо Дт </w:t>
            </w:r>
            <w:r w:rsidRPr="00D837F3">
              <w:rPr>
                <w:rFonts w:ascii="Times New Roman" w:eastAsia="Times New Roman" w:hAnsi="Times New Roman" w:cs="Times New Roman"/>
                <w:b/>
                <w:bCs/>
                <w:sz w:val="24"/>
                <w:szCs w:val="24"/>
                <w:lang w:val="ru-RU" w:eastAsia="ru-RU"/>
              </w:rPr>
              <w:t>378</w:t>
            </w:r>
            <w:r w:rsidRPr="00D837F3">
              <w:rPr>
                <w:rFonts w:ascii="Times New Roman" w:eastAsia="Times New Roman" w:hAnsi="Times New Roman" w:cs="Times New Roman"/>
                <w:sz w:val="24"/>
                <w:szCs w:val="24"/>
                <w:lang w:val="ru-RU" w:eastAsia="ru-RU"/>
              </w:rPr>
              <w:t>),</w:t>
            </w:r>
            <w:r w:rsidRPr="00D837F3">
              <w:rPr>
                <w:rFonts w:ascii="Times New Roman" w:eastAsia="Times New Roman" w:hAnsi="Times New Roman" w:cs="Times New Roman"/>
                <w:b/>
                <w:bCs/>
                <w:sz w:val="24"/>
                <w:szCs w:val="24"/>
                <w:lang w:val="ru-RU" w:eastAsia="ru-RU"/>
              </w:rPr>
              <w:t xml:space="preserve"> 66*, 653, 654, 68 за мінусом</w:t>
            </w:r>
            <w:r w:rsidRPr="00D837F3">
              <w:rPr>
                <w:rFonts w:ascii="Times New Roman" w:eastAsia="Times New Roman" w:hAnsi="Times New Roman" w:cs="Times New Roman"/>
                <w:sz w:val="24"/>
                <w:szCs w:val="24"/>
                <w:lang w:val="ru-RU" w:eastAsia="ru-RU"/>
              </w:rPr>
              <w:t xml:space="preserve"> Сальдо Кт </w:t>
            </w:r>
            <w:r w:rsidRPr="00D837F3">
              <w:rPr>
                <w:rFonts w:ascii="Times New Roman" w:eastAsia="Times New Roman" w:hAnsi="Times New Roman" w:cs="Times New Roman"/>
                <w:b/>
                <w:bCs/>
                <w:sz w:val="24"/>
                <w:szCs w:val="24"/>
                <w:lang w:val="ru-RU"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заборгованість дебіторів, яка не включена до інших статей ДЗ, скоригована на резерв сумнівних боргів (нетто), що відноситься до іншої заборгованості (пп. 2.11 п. 2 розд. ІІ)</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*У цій статті також відображається заборгованість працівників перед підприємством за операціями з оплати праці (пп. 2.29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Поточні фінансові інвестиції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1160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352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Відображаються фінансові інвестиції </w:t>
            </w:r>
            <w:proofErr w:type="gramStart"/>
            <w:r w:rsidRPr="00D837F3">
              <w:rPr>
                <w:rFonts w:ascii="Times New Roman" w:eastAsia="Times New Roman" w:hAnsi="Times New Roman" w:cs="Times New Roman"/>
                <w:sz w:val="24"/>
                <w:szCs w:val="24"/>
                <w:lang w:val="ru-RU" w:eastAsia="ru-RU"/>
              </w:rPr>
              <w:t>на строк</w:t>
            </w:r>
            <w:proofErr w:type="gramEnd"/>
            <w:r w:rsidRPr="00D837F3">
              <w:rPr>
                <w:rFonts w:ascii="Times New Roman" w:eastAsia="Times New Roman" w:hAnsi="Times New Roman" w:cs="Times New Roman"/>
                <w:sz w:val="24"/>
                <w:szCs w:val="24"/>
                <w:lang w:val="ru-RU" w:eastAsia="ru-RU"/>
              </w:rPr>
              <w:t>, що не перевищує один рік, які можуть бути вільно реалізовані в будь-який момент (крім інвестицій, які є еквівалентами грошових коштів) (пп. 2.12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Гроші та їх еквіваленти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1165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30, 31, 333-335, 351</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Відображаються:</w:t>
            </w:r>
          </w:p>
          <w:p w:rsidR="00D837F3" w:rsidRPr="00D837F3" w:rsidRDefault="00D837F3" w:rsidP="00D837F3">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готівка в касі підприємства;</w:t>
            </w:r>
          </w:p>
          <w:p w:rsidR="00D837F3" w:rsidRPr="00D837F3" w:rsidRDefault="00D837F3" w:rsidP="00D837F3">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гроші на поточних та інших рахунках </w:t>
            </w:r>
            <w:proofErr w:type="gramStart"/>
            <w:r w:rsidRPr="00D837F3">
              <w:rPr>
                <w:rFonts w:ascii="Times New Roman" w:eastAsia="Times New Roman" w:hAnsi="Times New Roman" w:cs="Times New Roman"/>
                <w:sz w:val="24"/>
                <w:szCs w:val="24"/>
                <w:lang w:val="ru-RU" w:eastAsia="ru-RU"/>
              </w:rPr>
              <w:t>у банках</w:t>
            </w:r>
            <w:proofErr w:type="gramEnd"/>
            <w:r w:rsidRPr="00D837F3">
              <w:rPr>
                <w:rFonts w:ascii="Times New Roman" w:eastAsia="Times New Roman" w:hAnsi="Times New Roman" w:cs="Times New Roman"/>
                <w:sz w:val="24"/>
                <w:szCs w:val="24"/>
                <w:lang w:val="ru-RU" w:eastAsia="ru-RU"/>
              </w:rPr>
              <w:t>;</w:t>
            </w:r>
          </w:p>
          <w:p w:rsidR="00D837F3" w:rsidRPr="00D837F3" w:rsidRDefault="00D837F3" w:rsidP="00D837F3">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грошові кошти в дорозі;</w:t>
            </w:r>
          </w:p>
          <w:p w:rsidR="00D837F3" w:rsidRPr="00D837F3" w:rsidRDefault="00D837F3" w:rsidP="00D837F3">
            <w:pPr>
              <w:numPr>
                <w:ilvl w:val="0"/>
                <w:numId w:val="8"/>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електронні гроші (крім наперед оплачених карток цільового використання: дисконтних карток торговців, карток АЗС, квитків для проїзду в міському транспорті тощо, які приймаються як засіб платежу виключно їх емітентами).</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Кошти, які не можна використати для операцій протягом одного року, починаючи з дати балансу, або протягом операційного циклу внаслідок обмежень, виключаються зі складу оборотних активів та відображаються як необоротні активи (абзац другий пп. 2.13 п. 2 розд. ІІ НП(С)БО 25).</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Витрати майбутніх періодів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1170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Відображаються витрати, що мали місце протягом поточного або попередніх звітних періодів, але належать до наступних звітних періодів (пп. 2.15 п. 2 розд. ІІ). Перелік витрат наведено в Інструкції № 291.</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Інші оборотні активи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1190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Сальдо Дт</w:t>
            </w:r>
            <w:r w:rsidRPr="00D837F3">
              <w:rPr>
                <w:rFonts w:ascii="Times New Roman" w:eastAsia="Times New Roman" w:hAnsi="Times New Roman" w:cs="Times New Roman"/>
                <w:b/>
                <w:bCs/>
                <w:sz w:val="24"/>
                <w:szCs w:val="24"/>
                <w:lang w:val="ru-RU" w:eastAsia="ru-RU"/>
              </w:rPr>
              <w:t xml:space="preserve"> 331, 332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Наводяться суми оборотних активів, які не включені до згаданих вище статей розділу «Оборотні активи» (пп. 2.14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Усього за розділом II</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1195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after="0" w:line="240" w:lineRule="auto"/>
              <w:rPr>
                <w:rFonts w:ascii="Times New Roman" w:eastAsia="Times New Roman" w:hAnsi="Times New Roman" w:cs="Times New Roman"/>
                <w:sz w:val="24"/>
                <w:szCs w:val="24"/>
                <w:lang w:val="ru-RU" w:eastAsia="ru-RU"/>
              </w:rPr>
            </w:pP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Відображається загальна сума за розділом II. Оборотні активи:</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lastRenderedPageBreak/>
              <w:t>р. 1100 + р. 1110 + р. 1125 + р. 1135 + р. 1155 + р. 1160 + р. 1165 + р. 1170 + р. 1190</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lastRenderedPageBreak/>
              <w:t xml:space="preserve">III. НА, утримувані </w:t>
            </w:r>
            <w:proofErr w:type="gramStart"/>
            <w:r w:rsidRPr="00D837F3">
              <w:rPr>
                <w:rFonts w:ascii="Times New Roman" w:eastAsia="Times New Roman" w:hAnsi="Times New Roman" w:cs="Times New Roman"/>
                <w:b/>
                <w:bCs/>
                <w:sz w:val="24"/>
                <w:szCs w:val="24"/>
                <w:lang w:val="ru-RU" w:eastAsia="ru-RU"/>
              </w:rPr>
              <w:t>для продажу</w:t>
            </w:r>
            <w:proofErr w:type="gramEnd"/>
            <w:r w:rsidRPr="00D837F3">
              <w:rPr>
                <w:rFonts w:ascii="Times New Roman" w:eastAsia="Times New Roman" w:hAnsi="Times New Roman" w:cs="Times New Roman"/>
                <w:b/>
                <w:bCs/>
                <w:sz w:val="24"/>
                <w:szCs w:val="24"/>
                <w:lang w:val="ru-RU" w:eastAsia="ru-RU"/>
              </w:rPr>
              <w:t>, та групи вибуття</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Дт </w:t>
            </w:r>
            <w:r w:rsidRPr="00D837F3">
              <w:rPr>
                <w:rFonts w:ascii="Times New Roman" w:eastAsia="Times New Roman" w:hAnsi="Times New Roman" w:cs="Times New Roman"/>
                <w:b/>
                <w:bCs/>
                <w:sz w:val="24"/>
                <w:szCs w:val="24"/>
                <w:lang w:val="ru-RU" w:eastAsia="ru-RU"/>
              </w:rPr>
              <w:t>286</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Відображається вартість НА та груп вибуття, які утримуються </w:t>
            </w:r>
            <w:proofErr w:type="gramStart"/>
            <w:r w:rsidRPr="00D837F3">
              <w:rPr>
                <w:rFonts w:ascii="Times New Roman" w:eastAsia="Times New Roman" w:hAnsi="Times New Roman" w:cs="Times New Roman"/>
                <w:sz w:val="24"/>
                <w:szCs w:val="24"/>
                <w:lang w:val="ru-RU" w:eastAsia="ru-RU"/>
              </w:rPr>
              <w:t>для продажу</w:t>
            </w:r>
            <w:proofErr w:type="gramEnd"/>
            <w:r w:rsidRPr="00D837F3">
              <w:rPr>
                <w:rFonts w:ascii="Times New Roman" w:eastAsia="Times New Roman" w:hAnsi="Times New Roman" w:cs="Times New Roman"/>
                <w:sz w:val="24"/>
                <w:szCs w:val="24"/>
                <w:lang w:val="ru-RU" w:eastAsia="ru-RU"/>
              </w:rPr>
              <w:t>, що визначається відповідно до П(С)БО 27 (пп. 2.16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Баланс</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Підсумок балансу: р. 1095 + р. 1195 +р. 1200 = р. 1300</w:t>
            </w:r>
          </w:p>
        </w:tc>
      </w:tr>
    </w:tbl>
    <w:p w:rsidR="00D837F3" w:rsidRPr="00D837F3" w:rsidRDefault="00D837F3" w:rsidP="00D837F3">
      <w:pPr>
        <w:spacing w:before="100" w:beforeAutospacing="1" w:after="100" w:afterAutospacing="1" w:line="240" w:lineRule="auto"/>
        <w:outlineLvl w:val="2"/>
        <w:rPr>
          <w:rFonts w:ascii="Times New Roman" w:eastAsia="Times New Roman" w:hAnsi="Times New Roman" w:cs="Times New Roman"/>
          <w:b/>
          <w:bCs/>
          <w:sz w:val="27"/>
          <w:szCs w:val="27"/>
          <w:lang w:val="ru-RU" w:eastAsia="ru-RU"/>
        </w:rPr>
      </w:pPr>
      <w:r w:rsidRPr="00D837F3">
        <w:rPr>
          <w:rFonts w:ascii="Times New Roman" w:eastAsia="Times New Roman" w:hAnsi="Times New Roman" w:cs="Times New Roman"/>
          <w:b/>
          <w:bCs/>
          <w:sz w:val="27"/>
          <w:szCs w:val="27"/>
          <w:lang w:val="ru-RU" w:eastAsia="ru-RU"/>
        </w:rPr>
        <w:t>Пасив балансу</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1"/>
        <w:gridCol w:w="756"/>
        <w:gridCol w:w="2469"/>
        <w:gridCol w:w="3706"/>
      </w:tblGrid>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Пасив</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Код рядка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Сальдо рахунку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Порядок заповнення згідно НП(С)БО 25</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4</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I. Власний капітал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Зареєстрований (пайовий) капітал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 Сальдо Кт </w:t>
            </w:r>
            <w:r w:rsidRPr="00D837F3">
              <w:rPr>
                <w:rFonts w:ascii="Times New Roman" w:eastAsia="Times New Roman" w:hAnsi="Times New Roman" w:cs="Times New Roman"/>
                <w:b/>
                <w:bCs/>
                <w:sz w:val="24"/>
                <w:szCs w:val="24"/>
                <w:lang w:val="ru-RU"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Наводиться зафіксована в установчих документах сума статутного капіталу підприємства з урахуванням суми внесків до оголошеного, але ще не зареєстрованого статутного капіталу.</w:t>
            </w:r>
          </w:p>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Підприємства, для яких не передбачено фіксовану суму статутного капіталу, відображають у цій статті суму фактичного внеску власників до статутного капіталу підприємства (пп. 2.17 п. 2 розд.І І)</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У цій статті також наводиться сума пайового капіталу (пайових внесків) членів споживчого товариства, спілок та інших організацій, внески засновників підприємства понад статутний капітал</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Додатковий капітал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41, 42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Відображаються (пп. 2.18 п. 2 розд. ІІ):</w:t>
            </w:r>
          </w:p>
          <w:p w:rsidR="00D837F3" w:rsidRPr="00D837F3" w:rsidRDefault="00D837F3" w:rsidP="00D837F3">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сума дооцінки НА;</w:t>
            </w:r>
          </w:p>
          <w:p w:rsidR="00D837F3" w:rsidRPr="00D837F3" w:rsidRDefault="00D837F3" w:rsidP="00D837F3">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вартість безоплатно отриманих підприємством від інших юридичних або фізичних осіб НА;</w:t>
            </w:r>
          </w:p>
          <w:p w:rsidR="00D837F3" w:rsidRPr="00D837F3" w:rsidRDefault="00D837F3" w:rsidP="00D837F3">
            <w:pPr>
              <w:numPr>
                <w:ilvl w:val="0"/>
                <w:numId w:val="9"/>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види додаткового капіталу</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Резервний капітал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1415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Наводиться сума резервів, створених відповідно до законодавства або установчих документів за рахунок нерозподіленого прибутку </w:t>
            </w:r>
            <w:r w:rsidRPr="00D837F3">
              <w:rPr>
                <w:rFonts w:ascii="Times New Roman" w:eastAsia="Times New Roman" w:hAnsi="Times New Roman" w:cs="Times New Roman"/>
                <w:sz w:val="24"/>
                <w:szCs w:val="24"/>
                <w:lang w:val="ru-RU" w:eastAsia="ru-RU"/>
              </w:rPr>
              <w:lastRenderedPageBreak/>
              <w:t>підприємства (пп. 2.19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lastRenderedPageBreak/>
              <w:t>Нерозподілений прибуток (непокритий збиток)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1420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 xml:space="preserve">441 </w:t>
            </w:r>
            <w:r w:rsidRPr="00D837F3">
              <w:rPr>
                <w:rFonts w:ascii="Times New Roman" w:eastAsia="Times New Roman" w:hAnsi="Times New Roman" w:cs="Times New Roman"/>
                <w:sz w:val="24"/>
                <w:szCs w:val="24"/>
                <w:lang w:val="ru-RU" w:eastAsia="ru-RU"/>
              </w:rPr>
              <w:t xml:space="preserve">(прибуток), або Сальдо Дт </w:t>
            </w:r>
            <w:r w:rsidRPr="00D837F3">
              <w:rPr>
                <w:rFonts w:ascii="Times New Roman" w:eastAsia="Times New Roman" w:hAnsi="Times New Roman" w:cs="Times New Roman"/>
                <w:b/>
                <w:bCs/>
                <w:sz w:val="24"/>
                <w:szCs w:val="24"/>
                <w:lang w:val="ru-RU" w:eastAsia="ru-RU"/>
              </w:rPr>
              <w:t xml:space="preserve">442 </w:t>
            </w:r>
            <w:r w:rsidRPr="00D837F3">
              <w:rPr>
                <w:rFonts w:ascii="Times New Roman" w:eastAsia="Times New Roman" w:hAnsi="Times New Roman" w:cs="Times New Roman"/>
                <w:sz w:val="24"/>
                <w:szCs w:val="24"/>
                <w:lang w:val="ru-RU" w:eastAsia="ru-RU"/>
              </w:rPr>
              <w:t>(збиток)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сума нерозподіленого прибутку або непокритого збитку. Сума непокритого збитку наводиться в дужках та вираховується при визначенні підсумку власного капіталу (пп. 2.20 п. 2 розд. ІІ)</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У першому місяці року переходу на застосування П(С)БО 25 сальдо рахунків 17 «Відстрочені податкові активи» і 54 «Відстрочені податкові зобов'язання» підлягає згортанню взаємною кореспонденцією цих рахунків із відображенням різниці на рахунку 44 «Нерозподілені прибутки (непокриті збитки)»: Дт 54 – Кт 17 – взаємне згортання сальдо; Дт 441(442) – Кт 17 – відображення різниці на рахунку 44, якщо сальдо рахунку 17 перевищує сальдо рахунку 54; Дт 54 – Кт 441(442) – відображення різниці на рахунку 44, якщо сальдо рахунку 54 перевищує сальдо рахунку 17.</w:t>
            </w:r>
          </w:p>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Згортання сальдо відстрочених податкових активів та відстрочених податкових зобов’язань здійснюється в разі переходу на П(С)БО 25, в іншому разі відстрочені податкові активи та відстрочені податкові зобов'язання відображаються в Балансі окремими статтями необоротних активів і довгострокових зобов'язань (п. 14 П(С)БО 17).</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Неоплачений капітал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1425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45, 46</w:t>
            </w:r>
            <w:r w:rsidRPr="00D837F3">
              <w:rPr>
                <w:rFonts w:ascii="Times New Roman" w:eastAsia="Times New Roman" w:hAnsi="Times New Roman" w:cs="Times New Roman"/>
                <w:sz w:val="24"/>
                <w:szCs w:val="24"/>
                <w:lang w:val="ru-RU" w:eastAsia="ru-RU"/>
              </w:rPr>
              <w:t xml:space="preserve"> (в балансі суми наводяться в дужках)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сума заборгованості власників (учасників) за внесками до статутного капіталу. Господарські товариства в цій статті також відображають вилучений капітал, тобто фактичну собівартість часток, викуплених у своїх учасників (пп. 2.21 п. 2 розд. ІІ)</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Державні (казенні) та комунальні підприємства відображають передачу майна відповідно до Положення про порядок бухгалтерського обліку окремих активів та операцій підприємств державного, комунального секторів економіки і господарських організацій, які володіють та/або користуються об'єктами державної, комунальної власності, затвердженого наказом Мінфіну від 19.12.06 р. № 1213</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Усього за розділом I</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1495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w:t>
            </w:r>
            <w:r w:rsidRPr="00D837F3">
              <w:rPr>
                <w:rFonts w:ascii="Times New Roman" w:eastAsia="Times New Roman" w:hAnsi="Times New Roman" w:cs="Times New Roman"/>
                <w:b/>
                <w:bCs/>
                <w:sz w:val="24"/>
                <w:szCs w:val="24"/>
                <w:lang w:val="ru-RU" w:eastAsia="ru-RU"/>
              </w:rPr>
              <w:t>Відображається загальна сума за розд. I. Власний капітал: р. 1400 + р. 1410 + р. 1415 + р. 1420 (прибуток «+», збиток «-») – р. 1425</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II. Довгострокові зобов'язання, цільове фінансування та забезпечення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1595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w:t>
            </w:r>
            <w:r w:rsidRPr="00D837F3">
              <w:rPr>
                <w:rFonts w:ascii="Times New Roman" w:eastAsia="Times New Roman" w:hAnsi="Times New Roman" w:cs="Times New Roman"/>
                <w:b/>
                <w:bCs/>
                <w:sz w:val="24"/>
                <w:szCs w:val="24"/>
                <w:lang w:val="ru-RU" w:eastAsia="ru-RU"/>
              </w:rPr>
              <w:t xml:space="preserve">Сальдо Кт 47, 48, 50-55 </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Наводиться (згідно з пп. 2.22 п. 2 розд. ІІ):</w:t>
            </w:r>
          </w:p>
          <w:p w:rsidR="00D837F3" w:rsidRPr="00D837F3" w:rsidRDefault="00D837F3" w:rsidP="00D837F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сума заборгованості підприємства банкам за отримані від них кредити;</w:t>
            </w:r>
          </w:p>
          <w:p w:rsidR="00D837F3" w:rsidRPr="00D837F3" w:rsidRDefault="00D837F3" w:rsidP="00D837F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сума довгострокової заборгованості підприємства за зобов'язаннями щодо залучення позикових коштів (крім кредитів </w:t>
            </w:r>
            <w:r w:rsidRPr="00D837F3">
              <w:rPr>
                <w:rFonts w:ascii="Times New Roman" w:eastAsia="Times New Roman" w:hAnsi="Times New Roman" w:cs="Times New Roman"/>
                <w:sz w:val="24"/>
                <w:szCs w:val="24"/>
                <w:lang w:val="ru-RU" w:eastAsia="ru-RU"/>
              </w:rPr>
              <w:lastRenderedPageBreak/>
              <w:t>банків), на які нараховуються відсотки;</w:t>
            </w:r>
          </w:p>
          <w:p w:rsidR="00D837F3" w:rsidRPr="00D837F3" w:rsidRDefault="00D837F3" w:rsidP="00D837F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інші довгострокові зобов’язання;</w:t>
            </w:r>
          </w:p>
          <w:p w:rsidR="00D837F3" w:rsidRPr="00D837F3" w:rsidRDefault="00D837F3" w:rsidP="00D837F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сума залишку коштів цільового фінансування і цільових надходжень, отриманих з бюджету та інших джерел;</w:t>
            </w:r>
          </w:p>
          <w:p w:rsidR="00D837F3" w:rsidRPr="00D837F3" w:rsidRDefault="00D837F3" w:rsidP="00D837F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кошти, вивільнені від оподаткування у зв'язку з наданням пільг з податку на прибуток (для платників податку на прибуток);</w:t>
            </w:r>
          </w:p>
          <w:p w:rsidR="00D837F3" w:rsidRPr="00D837F3" w:rsidRDefault="00D837F3" w:rsidP="00D837F3">
            <w:pPr>
              <w:numPr>
                <w:ilvl w:val="0"/>
                <w:numId w:val="10"/>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суми забезпечення для відшкодування наступних витрат і платежів</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lastRenderedPageBreak/>
              <w:t>У разі переходу підприємств на застосування НП(С)БО 25 до цієї статті на початок звітного року також включаються дані, наведені у статті «Відстрочені податкові зобов’язання» (рядок 1500 розділу «Довгострокові зобов’язання і забезпечення» Балансу (форма № 1) на кінець попереднього року</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III. Поточні зобов'язання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after="0" w:line="240" w:lineRule="auto"/>
              <w:rPr>
                <w:rFonts w:ascii="Times New Roman" w:eastAsia="Times New Roman" w:hAnsi="Times New Roman" w:cs="Times New Roman"/>
                <w:sz w:val="24"/>
                <w:szCs w:val="24"/>
                <w:lang w:val="ru-RU" w:eastAsia="ru-RU"/>
              </w:rPr>
            </w:pP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Короткострокові кредити банків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w:t>
            </w:r>
            <w:r w:rsidRPr="00D837F3">
              <w:rPr>
                <w:rFonts w:ascii="Times New Roman" w:eastAsia="Times New Roman" w:hAnsi="Times New Roman" w:cs="Times New Roman"/>
                <w:b/>
                <w:bCs/>
                <w:sz w:val="24"/>
                <w:szCs w:val="24"/>
                <w:lang w:val="ru-RU" w:eastAsia="ru-RU"/>
              </w:rPr>
              <w:t>Сальдо Кт 60, 684*, 31**</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сума поточних зобов'язань підприємства перед банками щодо отриманих від них короткострокових позик. Зобов'язання за кредитами банків наводяться в Балансі з урахуванням належної на кінець звітного періоду до сплати суми процентів за їх користування (пп. 2.23 п. 2 розд. ІІ)</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 xml:space="preserve">* Відображаються дані за субрахунком 684 «Розрахунки за нарахованими відсотками» за використання коштів, отриманих </w:t>
            </w:r>
            <w:proofErr w:type="gramStart"/>
            <w:r w:rsidRPr="00D837F3">
              <w:rPr>
                <w:rFonts w:ascii="Times New Roman" w:eastAsia="Times New Roman" w:hAnsi="Times New Roman" w:cs="Times New Roman"/>
                <w:b/>
                <w:bCs/>
                <w:sz w:val="20"/>
                <w:szCs w:val="20"/>
                <w:lang w:val="ru-RU" w:eastAsia="ru-RU"/>
              </w:rPr>
              <w:t>у кредит</w:t>
            </w:r>
            <w:proofErr w:type="gramEnd"/>
            <w:r w:rsidRPr="00D837F3">
              <w:rPr>
                <w:rFonts w:ascii="Times New Roman" w:eastAsia="Times New Roman" w:hAnsi="Times New Roman" w:cs="Times New Roman"/>
                <w:b/>
                <w:bCs/>
                <w:sz w:val="20"/>
                <w:szCs w:val="20"/>
                <w:lang w:val="ru-RU" w:eastAsia="ru-RU"/>
              </w:rPr>
              <w:t xml:space="preserve"> від банків. Нарахування процентів за овердрафт відображається також на субрахунку 684 (Дт 951 – Кт 684).</w:t>
            </w:r>
          </w:p>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w:t>
            </w:r>
            <w:hyperlink r:id="rId5" w:tgtFrame="_blank" w:history="1">
              <w:r w:rsidRPr="00D837F3">
                <w:rPr>
                  <w:rFonts w:ascii="Times New Roman" w:eastAsia="Times New Roman" w:hAnsi="Times New Roman" w:cs="Times New Roman"/>
                  <w:b/>
                  <w:bCs/>
                  <w:color w:val="0000FF"/>
                  <w:sz w:val="20"/>
                  <w:szCs w:val="20"/>
                  <w:u w:val="single"/>
                  <w:lang w:val="ru-RU" w:eastAsia="ru-RU"/>
                </w:rPr>
                <w:t> ОВЕРДРАФТ (overdraft)</w:t>
              </w:r>
            </w:hyperlink>
            <w:r w:rsidRPr="00D837F3">
              <w:rPr>
                <w:rFonts w:ascii="Times New Roman" w:eastAsia="Times New Roman" w:hAnsi="Times New Roman" w:cs="Times New Roman"/>
                <w:b/>
                <w:bCs/>
                <w:sz w:val="20"/>
                <w:szCs w:val="20"/>
                <w:lang w:val="ru-RU" w:eastAsia="ru-RU"/>
              </w:rPr>
              <w:t xml:space="preserve"> – форма короткострокового кредиту в межах установленого банком ліміту, що дозволяє здійснювати розрахунки, коли у клієнта на поточному рахунку недостатньо коштів.</w:t>
            </w:r>
          </w:p>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 xml:space="preserve">Якщо бухгалтер відображає овердрафт на рахунку 31 (лист Мінфіну </w:t>
            </w:r>
            <w:hyperlink r:id="rId6" w:tgtFrame="_blank" w:history="1">
              <w:r w:rsidRPr="00D837F3">
                <w:rPr>
                  <w:rFonts w:ascii="Times New Roman" w:eastAsia="Times New Roman" w:hAnsi="Times New Roman" w:cs="Times New Roman"/>
                  <w:b/>
                  <w:bCs/>
                  <w:color w:val="0000FF"/>
                  <w:sz w:val="20"/>
                  <w:szCs w:val="20"/>
                  <w:u w:val="single"/>
                  <w:lang w:val="ru-RU" w:eastAsia="ru-RU"/>
                </w:rPr>
                <w:t>від 29.12.03 р. № 31-04200-30-5/7021</w:t>
              </w:r>
            </w:hyperlink>
            <w:r w:rsidRPr="00D837F3">
              <w:rPr>
                <w:rFonts w:ascii="Times New Roman" w:eastAsia="Times New Roman" w:hAnsi="Times New Roman" w:cs="Times New Roman"/>
                <w:b/>
                <w:bCs/>
                <w:sz w:val="20"/>
                <w:szCs w:val="20"/>
                <w:lang w:val="ru-RU" w:eastAsia="ru-RU"/>
              </w:rPr>
              <w:t>), то в ряд. 1600 відображається кредитове сальдо рахунку 31 – овердрафт.</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Поточна кредиторська заборгованість </w:t>
            </w:r>
            <w:proofErr w:type="gramStart"/>
            <w:r w:rsidRPr="00D837F3">
              <w:rPr>
                <w:rFonts w:ascii="Times New Roman" w:eastAsia="Times New Roman" w:hAnsi="Times New Roman" w:cs="Times New Roman"/>
                <w:sz w:val="24"/>
                <w:szCs w:val="24"/>
                <w:lang w:val="ru-RU" w:eastAsia="ru-RU"/>
              </w:rPr>
              <w:t>за:</w:t>
            </w:r>
            <w:r w:rsidRPr="00D837F3">
              <w:rPr>
                <w:rFonts w:ascii="Times New Roman" w:eastAsia="Times New Roman" w:hAnsi="Times New Roman" w:cs="Times New Roman"/>
                <w:sz w:val="24"/>
                <w:szCs w:val="24"/>
                <w:lang w:val="ru-RU" w:eastAsia="ru-RU"/>
              </w:rPr>
              <w:br/>
              <w:t>довгостроковими</w:t>
            </w:r>
            <w:proofErr w:type="gramEnd"/>
            <w:r w:rsidRPr="00D837F3">
              <w:rPr>
                <w:rFonts w:ascii="Times New Roman" w:eastAsia="Times New Roman" w:hAnsi="Times New Roman" w:cs="Times New Roman"/>
                <w:sz w:val="24"/>
                <w:szCs w:val="24"/>
                <w:lang w:val="ru-RU" w:eastAsia="ru-RU"/>
              </w:rPr>
              <w:t xml:space="preserve"> зобов'язаннями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1610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Наводяться суми зобов'язань, які утворилися як довгострокові, але з дати балансу підлягають погашенню протягом 12 місяців (пп. 2.24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товари, роботи, послуги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1615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63, 62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Відображається сума заборгованості постачальникам і підрядникам за матеріальні </w:t>
            </w:r>
            <w:r w:rsidRPr="00D837F3">
              <w:rPr>
                <w:rFonts w:ascii="Times New Roman" w:eastAsia="Times New Roman" w:hAnsi="Times New Roman" w:cs="Times New Roman"/>
                <w:sz w:val="24"/>
                <w:szCs w:val="24"/>
                <w:lang w:val="ru-RU" w:eastAsia="ru-RU"/>
              </w:rPr>
              <w:lastRenderedPageBreak/>
              <w:t>цінності, виконані роботи та отримані послуги, включаючи заборгованість, забезпечену векселями (пп. 2.25 п. 2 розд. ІІ)</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lastRenderedPageBreak/>
              <w:t>У цій статті також відображається заборгованість постачальникам за невідфактуровані поставки (без супроводжувальних документів) і розрахунки з надлишку ТМЦ, який установлено під час їх приймання.</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розрахунками з бюджетом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64 (641, 642)</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Відображається заборгованість підприємства за всіма видами платежів </w:t>
            </w:r>
            <w:proofErr w:type="gramStart"/>
            <w:r w:rsidRPr="00D837F3">
              <w:rPr>
                <w:rFonts w:ascii="Times New Roman" w:eastAsia="Times New Roman" w:hAnsi="Times New Roman" w:cs="Times New Roman"/>
                <w:sz w:val="24"/>
                <w:szCs w:val="24"/>
                <w:lang w:val="ru-RU" w:eastAsia="ru-RU"/>
              </w:rPr>
              <w:t>до бюджету</w:t>
            </w:r>
            <w:proofErr w:type="gramEnd"/>
            <w:r w:rsidRPr="00D837F3">
              <w:rPr>
                <w:rFonts w:ascii="Times New Roman" w:eastAsia="Times New Roman" w:hAnsi="Times New Roman" w:cs="Times New Roman"/>
                <w:sz w:val="24"/>
                <w:szCs w:val="24"/>
                <w:lang w:val="ru-RU" w:eastAsia="ru-RU"/>
              </w:rPr>
              <w:t>, включаючи суму податку з працівників підприємства (пп. 2.26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у тому числі з податку на прибуток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1621</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641</w:t>
            </w:r>
            <w:r w:rsidRPr="00D837F3">
              <w:rPr>
                <w:rFonts w:ascii="Times New Roman" w:eastAsia="Times New Roman" w:hAnsi="Times New Roman" w:cs="Times New Roman"/>
                <w:sz w:val="24"/>
                <w:szCs w:val="24"/>
                <w:lang w:val="ru-RU" w:eastAsia="ru-RU"/>
              </w:rPr>
              <w:t xml:space="preserve"> «Розрахунки за податком на прибуток»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У цій статті окремо наводиться поточна кредиторська заборгованість з податку на прибуток</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розрахунками зі страхування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1625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65 (651, 652, 654, 655)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сума заборгованості з відрахувань на загальнообов'язкове державне соціальне страхування, страхування майна підприємства та індивідуального страхування його працівників (пп. 2.27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розрахунками з оплати праці</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Відображається заборгованість за нарахованою, але ще не виплаченою сумою оплати праці, а також за депонованою зарплатою (пп. 2.29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Доходи майбутніх періодів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1665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Відображаються доходи, отримані протягом поточного або попередніх звітних періодів, які належать до наступних звітних періодів (пп. 2.31 п. 2 розд. ІІ)</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outlineLvl w:val="4"/>
              <w:rPr>
                <w:rFonts w:ascii="Times New Roman" w:eastAsia="Times New Roman" w:hAnsi="Times New Roman" w:cs="Times New Roman"/>
                <w:b/>
                <w:bCs/>
                <w:sz w:val="20"/>
                <w:szCs w:val="20"/>
                <w:lang w:val="ru-RU" w:eastAsia="ru-RU"/>
              </w:rPr>
            </w:pPr>
            <w:r w:rsidRPr="00D837F3">
              <w:rPr>
                <w:rFonts w:ascii="Times New Roman" w:eastAsia="Times New Roman" w:hAnsi="Times New Roman" w:cs="Times New Roman"/>
                <w:b/>
                <w:bCs/>
                <w:sz w:val="20"/>
                <w:szCs w:val="20"/>
                <w:lang w:val="ru-RU" w:eastAsia="ru-RU"/>
              </w:rPr>
              <w:t>До доходів майбутніх періодів належать, зокрема, доходи у вигляді одержаних авансових платежів за здані в оренду основні засоби та інші необоротні активи (авансові орендні платежі), передплата газет, журналів, періодичнихі та довідкових видань, виручка від продажу квитків транспортних і театрально-видовищних підприємств, абонентна плата за користування засобами зв'язку тощо (Інструкція № 291)</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Інші поточні зобов'язання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1690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372, 378, 644, 67, 68</w:t>
            </w:r>
            <w:r w:rsidRPr="00D837F3">
              <w:rPr>
                <w:rFonts w:ascii="Times New Roman" w:eastAsia="Times New Roman" w:hAnsi="Times New Roman" w:cs="Times New Roman"/>
                <w:sz w:val="24"/>
                <w:szCs w:val="24"/>
                <w:lang w:val="ru-RU" w:eastAsia="ru-RU"/>
              </w:rPr>
              <w:t xml:space="preserve"> (без урахування субрахунків </w:t>
            </w:r>
            <w:r w:rsidRPr="00D837F3">
              <w:rPr>
                <w:rFonts w:ascii="Times New Roman" w:eastAsia="Times New Roman" w:hAnsi="Times New Roman" w:cs="Times New Roman"/>
                <w:b/>
                <w:bCs/>
                <w:sz w:val="24"/>
                <w:szCs w:val="24"/>
                <w:lang w:val="ru-RU" w:eastAsia="ru-RU"/>
              </w:rPr>
              <w:t xml:space="preserve">684 </w:t>
            </w:r>
            <w:r w:rsidRPr="00D837F3">
              <w:rPr>
                <w:rFonts w:ascii="Times New Roman" w:eastAsia="Times New Roman" w:hAnsi="Times New Roman" w:cs="Times New Roman"/>
                <w:sz w:val="24"/>
                <w:szCs w:val="24"/>
                <w:lang w:val="ru-RU" w:eastAsia="ru-RU"/>
              </w:rPr>
              <w:t xml:space="preserve">стосовно відсотків за кредити банків, який відображається у р.1600 та субрахунку </w:t>
            </w:r>
            <w:r w:rsidRPr="00D837F3">
              <w:rPr>
                <w:rFonts w:ascii="Times New Roman" w:eastAsia="Times New Roman" w:hAnsi="Times New Roman" w:cs="Times New Roman"/>
                <w:b/>
                <w:bCs/>
                <w:sz w:val="24"/>
                <w:szCs w:val="24"/>
                <w:lang w:val="ru-RU" w:eastAsia="ru-RU"/>
              </w:rPr>
              <w:t>680</w:t>
            </w:r>
            <w:r w:rsidRPr="00D837F3">
              <w:rPr>
                <w:rFonts w:ascii="Times New Roman" w:eastAsia="Times New Roman" w:hAnsi="Times New Roman" w:cs="Times New Roman"/>
                <w:sz w:val="24"/>
                <w:szCs w:val="24"/>
                <w:lang w:val="ru-RU" w:eastAsia="ru-RU"/>
              </w:rPr>
              <w:t>, який відображається у розд. ІV)</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Відображаються суми зобов'язань, не включених до інших статей, наведених у розд. «Поточна кредиторська заборгованість» (пп. 2.30 п. 2 розд. ІІ):</w:t>
            </w:r>
          </w:p>
          <w:p w:rsidR="00D837F3" w:rsidRPr="00D837F3" w:rsidRDefault="00D837F3" w:rsidP="00D837F3">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заборгованість за одержаними авансами;</w:t>
            </w:r>
          </w:p>
          <w:p w:rsidR="00D837F3" w:rsidRPr="00D837F3" w:rsidRDefault="00D837F3" w:rsidP="00D837F3">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заборгованість засновникам у зв'язку з розподілом прибутку;</w:t>
            </w:r>
          </w:p>
          <w:p w:rsidR="00D837F3" w:rsidRPr="00D837F3" w:rsidRDefault="00D837F3" w:rsidP="00D837F3">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lastRenderedPageBreak/>
              <w:t>заборгованість пов'язаним сторонам;</w:t>
            </w:r>
          </w:p>
          <w:p w:rsidR="00D837F3" w:rsidRPr="00D837F3" w:rsidRDefault="00D837F3" w:rsidP="00D837F3">
            <w:pPr>
              <w:numPr>
                <w:ilvl w:val="0"/>
                <w:numId w:val="11"/>
              </w:num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сума валової заборгованості замовникам за будівельними контрактами</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lastRenderedPageBreak/>
              <w:t>Усього за розділом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1695</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Відображається загальна сума за розд. IІІ. Поточні зобов'язання: р. 1600 + р. 1610 + р. 1615 + р. 1620 + р. 1625 + р. 1630 + р. 1665 + р. 1690</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 xml:space="preserve">IV. Зобов'язання, пов'язані з НА, утримуваними </w:t>
            </w:r>
            <w:proofErr w:type="gramStart"/>
            <w:r w:rsidRPr="00D837F3">
              <w:rPr>
                <w:rFonts w:ascii="Times New Roman" w:eastAsia="Times New Roman" w:hAnsi="Times New Roman" w:cs="Times New Roman"/>
                <w:b/>
                <w:bCs/>
                <w:sz w:val="24"/>
                <w:szCs w:val="24"/>
                <w:lang w:val="ru-RU" w:eastAsia="ru-RU"/>
              </w:rPr>
              <w:t>для продажу</w:t>
            </w:r>
            <w:proofErr w:type="gramEnd"/>
            <w:r w:rsidRPr="00D837F3">
              <w:rPr>
                <w:rFonts w:ascii="Times New Roman" w:eastAsia="Times New Roman" w:hAnsi="Times New Roman" w:cs="Times New Roman"/>
                <w:b/>
                <w:bCs/>
                <w:sz w:val="24"/>
                <w:szCs w:val="24"/>
                <w:lang w:val="ru-RU" w:eastAsia="ru-RU"/>
              </w:rPr>
              <w:t>, та групами вибуття</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Сальдо Кт </w:t>
            </w:r>
            <w:r w:rsidRPr="00D837F3">
              <w:rPr>
                <w:rFonts w:ascii="Times New Roman" w:eastAsia="Times New Roman" w:hAnsi="Times New Roman" w:cs="Times New Roman"/>
                <w:b/>
                <w:bCs/>
                <w:sz w:val="24"/>
                <w:szCs w:val="24"/>
                <w:lang w:val="ru-RU" w:eastAsia="ru-RU"/>
              </w:rPr>
              <w:t>680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sz w:val="24"/>
                <w:szCs w:val="24"/>
                <w:lang w:val="ru-RU" w:eastAsia="ru-RU"/>
              </w:rPr>
              <w:t xml:space="preserve">Відображаються зобов'язання, пов'язані з необоротними активами та групами вибуття, які утримуються </w:t>
            </w:r>
            <w:proofErr w:type="gramStart"/>
            <w:r w:rsidRPr="00D837F3">
              <w:rPr>
                <w:rFonts w:ascii="Times New Roman" w:eastAsia="Times New Roman" w:hAnsi="Times New Roman" w:cs="Times New Roman"/>
                <w:sz w:val="24"/>
                <w:szCs w:val="24"/>
                <w:lang w:val="ru-RU" w:eastAsia="ru-RU"/>
              </w:rPr>
              <w:t>для продажу</w:t>
            </w:r>
            <w:proofErr w:type="gramEnd"/>
            <w:r w:rsidRPr="00D837F3">
              <w:rPr>
                <w:rFonts w:ascii="Times New Roman" w:eastAsia="Times New Roman" w:hAnsi="Times New Roman" w:cs="Times New Roman"/>
                <w:sz w:val="24"/>
                <w:szCs w:val="24"/>
                <w:lang w:val="ru-RU" w:eastAsia="ru-RU"/>
              </w:rPr>
              <w:t>, що визначаються відповідно до П(С) 27 (пп. 2.28 п. 2 розд. ІІ)</w:t>
            </w:r>
          </w:p>
        </w:tc>
      </w:tr>
      <w:tr w:rsidR="00D837F3" w:rsidRPr="00D837F3" w:rsidTr="00D837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Баланс</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Підсумок балансу: р. 1495 + р. 1595 +р. 1695 + р. 1700 = р. 1900</w:t>
            </w:r>
          </w:p>
        </w:tc>
      </w:tr>
      <w:tr w:rsidR="00D837F3" w:rsidRPr="00D837F3" w:rsidTr="00D837F3">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837F3" w:rsidRPr="00D837F3" w:rsidRDefault="00D837F3" w:rsidP="00D837F3">
            <w:pPr>
              <w:spacing w:before="100" w:beforeAutospacing="1" w:after="100" w:afterAutospacing="1" w:line="240" w:lineRule="auto"/>
              <w:rPr>
                <w:rFonts w:ascii="Times New Roman" w:eastAsia="Times New Roman" w:hAnsi="Times New Roman" w:cs="Times New Roman"/>
                <w:sz w:val="24"/>
                <w:szCs w:val="24"/>
                <w:lang w:val="ru-RU" w:eastAsia="ru-RU"/>
              </w:rPr>
            </w:pPr>
            <w:r w:rsidRPr="00D837F3">
              <w:rPr>
                <w:rFonts w:ascii="Times New Roman" w:eastAsia="Times New Roman" w:hAnsi="Times New Roman" w:cs="Times New Roman"/>
                <w:b/>
                <w:bCs/>
                <w:sz w:val="24"/>
                <w:szCs w:val="24"/>
                <w:lang w:val="ru-RU" w:eastAsia="ru-RU"/>
              </w:rPr>
              <w:t>Рядок 1900, графи 3 і 4 = рядок 1300, графи 3 і 4 (Методичні рекомендації з перевірки порівнянності показників фінансової звітності, затверджені наказом Мінфіну від 11.04.13 р. № 476)</w:t>
            </w:r>
          </w:p>
        </w:tc>
      </w:tr>
    </w:tbl>
    <w:p w:rsidR="00276DFF" w:rsidRDefault="00276DFF"/>
    <w:sectPr w:rsidR="00276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4688"/>
    <w:multiLevelType w:val="multilevel"/>
    <w:tmpl w:val="28B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A7471"/>
    <w:multiLevelType w:val="multilevel"/>
    <w:tmpl w:val="C0DE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05ED2"/>
    <w:multiLevelType w:val="multilevel"/>
    <w:tmpl w:val="DF2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C1DD4"/>
    <w:multiLevelType w:val="multilevel"/>
    <w:tmpl w:val="FCF8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729E3"/>
    <w:multiLevelType w:val="multilevel"/>
    <w:tmpl w:val="3F4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E6C40"/>
    <w:multiLevelType w:val="multilevel"/>
    <w:tmpl w:val="4C5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719C7"/>
    <w:multiLevelType w:val="multilevel"/>
    <w:tmpl w:val="2F7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A0604"/>
    <w:multiLevelType w:val="multilevel"/>
    <w:tmpl w:val="0BF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F0390"/>
    <w:multiLevelType w:val="multilevel"/>
    <w:tmpl w:val="CBC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00432"/>
    <w:multiLevelType w:val="multilevel"/>
    <w:tmpl w:val="5FD0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263575"/>
    <w:multiLevelType w:val="multilevel"/>
    <w:tmpl w:val="2452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4"/>
  </w:num>
  <w:num w:numId="4">
    <w:abstractNumId w:val="8"/>
  </w:num>
  <w:num w:numId="5">
    <w:abstractNumId w:val="1"/>
  </w:num>
  <w:num w:numId="6">
    <w:abstractNumId w:val="5"/>
  </w:num>
  <w:num w:numId="7">
    <w:abstractNumId w:val="3"/>
  </w:num>
  <w:num w:numId="8">
    <w:abstractNumId w:val="7"/>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F3"/>
    <w:rsid w:val="00276DFF"/>
    <w:rsid w:val="00D837F3"/>
    <w:rsid w:val="00E4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CC2C2-DB7E-4735-80DD-5A37E4B1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2">
    <w:name w:val="heading 2"/>
    <w:basedOn w:val="a"/>
    <w:link w:val="20"/>
    <w:uiPriority w:val="9"/>
    <w:qFormat/>
    <w:rsid w:val="00D837F3"/>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D837F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5">
    <w:name w:val="heading 5"/>
    <w:basedOn w:val="a"/>
    <w:link w:val="50"/>
    <w:uiPriority w:val="9"/>
    <w:qFormat/>
    <w:rsid w:val="00D837F3"/>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37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837F3"/>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D837F3"/>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D837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D837F3"/>
    <w:rPr>
      <w:b/>
      <w:bCs/>
    </w:rPr>
  </w:style>
  <w:style w:type="character" w:styleId="a5">
    <w:name w:val="Hyperlink"/>
    <w:basedOn w:val="a0"/>
    <w:uiPriority w:val="99"/>
    <w:semiHidden/>
    <w:unhideWhenUsed/>
    <w:rsid w:val="00D837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6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rada/show/v7021201-03" TargetMode="External"/><Relationship Id="rId5" Type="http://schemas.openxmlformats.org/officeDocument/2006/relationships/hyperlink" Target="https://old.bank.gov.ua/control/uk/inde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2890</Words>
  <Characters>16479</Characters>
  <Application>Microsoft Office Word</Application>
  <DocSecurity>0</DocSecurity>
  <Lines>137</Lines>
  <Paragraphs>38</Paragraphs>
  <ScaleCrop>false</ScaleCrop>
  <Company/>
  <LinksUpToDate>false</LinksUpToDate>
  <CharactersWithSpaces>19331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Шевчук</dc:creator>
  <cp:keywords/>
  <dc:description/>
  <cp:lastModifiedBy>Наталья Н. Шевчук</cp:lastModifiedBy>
  <cp:revision>1</cp:revision>
  <dcterms:created xsi:type="dcterms:W3CDTF">2019-10-28T08:32:00Z</dcterms:created>
  <dcterms:modified xsi:type="dcterms:W3CDTF">2019-10-28T08:32:00Z</dcterms:modified>
</cp:coreProperties>
</file>