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A3" w:rsidRPr="00C931A3" w:rsidRDefault="00C931A3" w:rsidP="00C931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bookmarkStart w:id="0" w:name="_GoBack"/>
      <w:r w:rsidRPr="00C931A3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Особливості заповнення та подання Декларації з податку на прибуток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2520"/>
        <w:gridCol w:w="3983"/>
        <w:gridCol w:w="2233"/>
      </w:tblGrid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Вимоги щодо подання та заповнення Декларації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Посилання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«Звітна» податкова декларація (поле 1 Декларації)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Подається протягом 40 к. д., що настають за останнім к. д. звітного (податкового) кварталу (півріччя).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полі 2 зазначається звітний період, за який подається декларація.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 будь-який рядок Декларації або додатка до неї не заповнюється через відсутність операції (суми), то такий рядок прокреслюється.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Додатки до окремих рядків Декларації, не заповнені через відсутність операцій (показників), до контролюючого органу не подаються.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Декларація заповнюється на підставі первинних документів, у гривнях без копійок з відповідним округленням за загальновстановленими правилами.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Подання фінансової звітності разом зі звітною (звітною новою) Декларацією </w:t>
            </w: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є обов’язковим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46.2, пп. 49.18.2 ПК;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«ЗІР», категорія 102.23.02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Обов’язкові реквізити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Мають бути заповнені такі обов’язкові реквізити Декларації:</w:t>
            </w:r>
          </w:p>
          <w:p w:rsidR="00C931A3" w:rsidRPr="00C931A3" w:rsidRDefault="00C931A3" w:rsidP="00C931A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 документа (звітний, уточнюючий, звітний новий) – поле 1;</w:t>
            </w:r>
          </w:p>
          <w:p w:rsidR="00C931A3" w:rsidRPr="00C931A3" w:rsidRDefault="00C931A3" w:rsidP="00C931A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повне найменування згідно з реєстраційними документами – поле 4;</w:t>
            </w:r>
          </w:p>
          <w:p w:rsidR="00C931A3" w:rsidRPr="00C931A3" w:rsidRDefault="00C931A3" w:rsidP="00C931A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 платника податків (ЄДРПОУ) згідно з ЄДР та код КВЕД, який є основним – поле 5;</w:t>
            </w:r>
          </w:p>
          <w:p w:rsidR="00C931A3" w:rsidRPr="00C931A3" w:rsidRDefault="00C931A3" w:rsidP="00C931A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місцезнаходження платника податків – поле 6;</w:t>
            </w:r>
          </w:p>
          <w:p w:rsidR="00C931A3" w:rsidRPr="00C931A3" w:rsidRDefault="00C931A3" w:rsidP="00C931A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найменування та місцезнаходження резидента – поле 7;</w:t>
            </w:r>
          </w:p>
          <w:p w:rsidR="00C931A3" w:rsidRPr="00C931A3" w:rsidRDefault="00C931A3" w:rsidP="00C931A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 контролюючого органу, до якого подається звітність – поле 8;</w:t>
            </w:r>
          </w:p>
          <w:p w:rsidR="00C931A3" w:rsidRPr="00C931A3" w:rsidRDefault="00C931A3" w:rsidP="00C931A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особливі відмітки – поле 9, для вказаних у полі платників;</w:t>
            </w:r>
          </w:p>
          <w:p w:rsidR="00C931A3" w:rsidRPr="00C931A3" w:rsidRDefault="00C931A3" w:rsidP="00C931A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подання звіту (або дата заповнення – залежно від форми);</w:t>
            </w:r>
          </w:p>
          <w:p w:rsidR="00C931A3" w:rsidRPr="00C931A3" w:rsidRDefault="00C931A3" w:rsidP="00C931A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інформація про додатки, що додаються;</w:t>
            </w:r>
          </w:p>
          <w:p w:rsidR="00C931A3" w:rsidRPr="00C931A3" w:rsidRDefault="00C931A3" w:rsidP="00C931A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ПІБ та реєстраційні номери облікових карток посадових осіб;</w:t>
            </w:r>
          </w:p>
          <w:p w:rsidR="00C931A3" w:rsidRPr="00C931A3" w:rsidRDefault="00C931A3" w:rsidP="00C931A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підписи платника податку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П. 48.3 ПК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Необов’язкові реквізити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Кількість аркушів додатків. </w:t>
            </w:r>
            <w:proofErr w:type="gramStart"/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рядку</w:t>
            </w:r>
            <w:proofErr w:type="gramEnd"/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«Додатки на ___ арк.» зазначається кількість додатків до декларації. У загальній кількості аркушів враховується, зокрема, кількість аркушів за формами фінзвітності, яка є невід’ємною частиною Декларації.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Відповідальність за незазначення або неправильне зазначення кількості додатків не передбачено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«ЗІР», категорія 102.23.02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Позначка про незастосування податкових різниць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стовпчику «Про незастосування податкових різниць…» проставляється номер та дата розпорядчого документа підприємства, на підставі якого прийнято таке рішення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«ЗІР», категорія 102.23.02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Хто застосовує всі податкові різниці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Підприємства, річний дохід яких перевищує 20 млн грн.</w:t>
            </w:r>
          </w:p>
          <w:p w:rsidR="00C931A3" w:rsidRPr="00C931A3" w:rsidRDefault="00C931A3" w:rsidP="00C931A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Підприємства – «малодохідники» з річним доходом до 20 млн грн, які добровільно вирішили застосовувати податкові різниці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Пп. 134.1.1 ПК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Якою мовою заповнюється Декларація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Декларація заповнюється державною мовою – українською (застосування державної мови в нормативних актах, діловодстві та документообігу органів державної влади та місцевого самоврядування є обов’язковим, тому податкову звітність – в електронному 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або паперовому вигляді слід подавати українською мовою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Ст. 13 Закону від 25.04.19 р. № 2704-VIII «Про забезпечення функціонування української мови як державної»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Не вважається Декларацією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 звітність, складена з порушенням норм ст. 48 ПК, не вважається податковою декларацією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48.7 ПК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Хто подає квартальну Декларацію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Квартальну Декларацію наростаючим підсумком подають підприємства, річний дохід яких перевищує 20 млн грн, мікропідприємства та малі підприємства – квартальні платники податку на прибуток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137.4 ПК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Хто подає річну Декларацію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Річну Декларацію подають:</w:t>
            </w:r>
          </w:p>
          <w:p w:rsidR="00C931A3" w:rsidRPr="00C931A3" w:rsidRDefault="00C931A3" w:rsidP="00C931A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новостворені підприємства;</w:t>
            </w:r>
          </w:p>
          <w:p w:rsidR="00C931A3" w:rsidRPr="00C931A3" w:rsidRDefault="00C931A3" w:rsidP="00C931A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виробники сільськогосподарської продукції;</w:t>
            </w:r>
          </w:p>
          <w:p w:rsidR="00C931A3" w:rsidRPr="00C931A3" w:rsidRDefault="00C931A3" w:rsidP="00C931A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 річний дохід не перевищує 20 млн грн.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137.5 ПК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 якій формі подавати Декларацію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Платники податків, що належать до великих та середніх підприємств – в електронній формі.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Малі підприємства та мікропідприємства – можуть подавати як в електронній, так і в паперовій формі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49.4 ПК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Декларація з податку на прибуток та платники єдиного податку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Платники єдиного податку, які здійснювали будь-які виплати на користь нерезидента-юрособи або уповноваженої ним особи, повинні:</w:t>
            </w:r>
          </w:p>
          <w:p w:rsidR="00C931A3" w:rsidRPr="00C931A3" w:rsidRDefault="00C931A3" w:rsidP="00C931A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проставити позначку в полі 9 рядка – «платник єдиного податку»;</w:t>
            </w:r>
          </w:p>
          <w:p w:rsidR="00C931A3" w:rsidRPr="00C931A3" w:rsidRDefault="00C931A3" w:rsidP="00C931A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подавати додаток ПН до рядка 23 Декларації.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Інші додатки або фінансова звітність платниками єдиного податку не </w:t>
            </w:r>
            <w:proofErr w:type="gramStart"/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подаються )</w:t>
            </w:r>
            <w:proofErr w:type="gramEnd"/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297.5 ПК,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лист ДФС </w:t>
            </w:r>
            <w:hyperlink r:id="rId5" w:tgtFrame="_blank" w:history="1">
              <w:r w:rsidRPr="00C931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від 13.02.19 р. № 4622/7/99-99-15-02-01-17</w:t>
              </w:r>
            </w:hyperlink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Право не подавати Декларацію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Платники податку на прибуток мають право не подавати до контролюючих органів податкову декларацію з податку на прибуток підприємств та фінзвітність у разі відсутності об’єктів оподаткування або показників, які підлягають 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декларуванню відповідно до вимог 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П. 49.2 ПК,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ЗІР, категорія 102.23.02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lastRenderedPageBreak/>
              <w:t>Виправлення помилок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Виправлення шляхом подання «Звітної нової» Декларації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(поле 1 Декларації)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Подається до закінчення граничного строку подання Декларації.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Якщо після подання декларації за звітний період платник податку подає нову декларацію з виправленими показниками </w:t>
            </w: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 закінчення граничного строку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подання декларації за такий самий звітний (податковий) період, то така декларація </w:t>
            </w: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є звітною (новою)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не вважається уточнюючою.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Подання фінансової звітності разом зі звітною новою декларацією </w:t>
            </w: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є обов’язковим.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 до граничного терміну подання подається Декларація з ознакою «Звітна нова», то фінзвітність, показники якої не підлягають виправленню, повторно можна не подавати.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 до граничного терміну подання Декларації у фінзвітності виявлено помилки, які впливають на показники Декларації, такі уточнення здійснюються у «Звітній новій» Декларації з поданням до такої Декларації фінзвітності з виправленими показниками.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полі 2 зазначається звітний період, за який подається декларація.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разі подання «Звітної нової» Декларації до закінчення граничного строку подання з виправленими показниками штрафні санкції, передбачені п. 50.1 ПК, не застосовуються.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" w:tgtFrame="_blank" w:history="1">
              <w:r w:rsidRPr="00C931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Лист ДФС</w:t>
              </w:r>
            </w:hyperlink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«ЗІР», категорія 102.23.02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Виправлення шляхом подання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«Уточнюючої» податкової декларації 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(поле 1 Декларації)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Після закінчення граничного строку подання Декларації.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 разі факту заниження податкового зобов’язання сплачується:</w:t>
            </w:r>
          </w:p>
          <w:p w:rsidR="00C931A3" w:rsidRPr="00C931A3" w:rsidRDefault="00C931A3" w:rsidP="00C931A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сума недоплати;</w:t>
            </w:r>
          </w:p>
          <w:p w:rsidR="00C931A3" w:rsidRPr="00C931A3" w:rsidRDefault="00C931A3" w:rsidP="00C931A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штраф 3 % від суми недоплати до подання уточнюючого розрахунку (заниження податкового зобов’язання). Штраф нараховується навіть за наявності переплати з податку на прибуток в ІКП, порядок ведення якої визначено наказом Мінфіну від 07.04.16 р. № 422. У разі зменшення податкового зобов’язання шляхом подання уточнюючого розрахунку штраф не нараховується*;</w:t>
            </w:r>
          </w:p>
          <w:p w:rsidR="00C931A3" w:rsidRPr="00C931A3" w:rsidRDefault="00C931A3" w:rsidP="00C931A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пеня після спливу 90 к. д., що настають за останнім днем граничного строку сплати податкового зобов’язання;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Уточнюючий розрахунок подається за формою, чинною на час його подання.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полі 2 та 3 зазначається звітний (податковий) період, що уточнюється, тобто вони будуть </w:t>
            </w:r>
            <w:proofErr w:type="gramStart"/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аналогічні.;</w:t>
            </w:r>
            <w:proofErr w:type="gramEnd"/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Нараховані податкові зобов’язання, штраф та пеня можуть бути в автоматичному режимі погашені за рахунок наявної переплати з відображенням показників податкової звітності в ІКП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Абзаци перший, четвертий п. 50.1, пп. 129.1.3 ПК;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«ЗІР», категорія 102.23,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«ЗІР», категорія 102.23.02;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" w:tgtFrame="_blank" w:history="1">
              <w:r w:rsidRPr="00C931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лист ГУ ДФС у Закарпатській області</w:t>
              </w:r>
            </w:hyperlink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Пп. «а» п. 87.1 ПК, «ЗІР» категорія 135.04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разі виправлення помилок в уточнюючій декларації </w:t>
            </w: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можна не подавати фінзвітність повторно за умови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що показники фінзвітності, поданої з декларацією за звітні (податкові) періоди, які уточнюються, не підлягають виправленню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«ЗІР», категорія 102.23.02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Уточнюючий розрахунок подається з урахуванням строків давності – 1095 днів, що настає:</w:t>
            </w:r>
          </w:p>
          <w:p w:rsidR="00C931A3" w:rsidRPr="00C931A3" w:rsidRDefault="00C931A3" w:rsidP="00C931A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 останнім днем граничного строку подання декларації (граничний строк – строк установлений ст. 49 ПК);</w:t>
            </w:r>
          </w:p>
          <w:p w:rsidR="00C931A3" w:rsidRPr="00C931A3" w:rsidRDefault="00C931A3" w:rsidP="00C931A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 днем її фактичного подання, якщо податкову декларацію було подано пізніше (якщо декларацію подано з порушенням установленого строку подання – після його закінчення)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Абзац перший п. 102.1 ПК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>* Щодо нарахування штрафу згідно зі ст. 126 ПК за несплату узгодженої суми грошового зобов’язання в установлені строки у разі зменшення податкових зобов’язань з податку на прибуток минулих податкових періодів. Подання уточнюючих податкових декларацій з податку на прибуток, якими зменшено суми самостійно визначених грошових зобов'язань, не є сплатою боргу з податку на прибуток, а тягне за собою лише зміну раніше задекларованих податкових зобов'язань, у даному випадку шляхом їх зменшення, і ніяким чином не може бути прирівняне до погашення податкового боргу для цілей нарахування штрафу відповідно до положень ст.і 126 ПК.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Відповідно до п. 50.1. ПК у разі якщо в майбутніх податкових періодах платник податків самостійно виявляє помилки, що містяться в раніше поданій ним податковій декларації, він зобов'язаний надіслати уточнюючий розрахунок до такої податкової декларації за формою чинного на час подання уточнюючого розрахунку.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Несвоєчасна сплата податкового зобов'язання на суму, яка зменшена підприємством шляхом подання уточнюючої декларації, не є об'єктом застосування штрафу (постанова ВСУ у складі колегії суддів Касаційного адміністративного суду </w:t>
            </w:r>
            <w:hyperlink r:id="rId8" w:tgtFrame="_blank" w:history="1">
              <w:r w:rsidRPr="00C931A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ru-RU" w:eastAsia="ru-RU"/>
                </w:rPr>
                <w:t>від 14.08.18 р. у справі № 818/1507/17</w:t>
              </w:r>
            </w:hyperlink>
            <w:r w:rsidRPr="00C9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).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Виправлення у складі декларації, що подається за податковий період, який настає за періодом, в якому виявлено факт заниження податкового зобов'язання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Штраф у розмірі 5% від суми недоплати, з відповідним збільшенням загальної суми грошового зобов'язання з податку на прибуток.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полі 1 зазначається «звітна (звітна нова)»;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 полі 2 – звітний період, за який подається декларація;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 полі 3 – звітний період, за який здійснюється уточнення;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заповнюється додаток до декларації ВП;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суми зменшення (збільшення) податкового зобов’язання з податку на прибуток переносяться в декларацію в ряд. 26-34;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виправлена фінансова звітність подається в разі, якщо під час 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заповнення додатка ВП виправляються показники, відображені в ряд. 01 та 02;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Декларація подається після подання виправленої фінзвітності в електронній формі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Абзац п’ятий п. 50.1 ПК,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«ЗІР», категорія 102.23.02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Виправлення за результатами перевірки ДФС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Самостійні виправлення відповідно до ст. 50 ПК збільшених/зменшених податкових зобов’язань з податку на прибуток за період, що перевірявся, не здійснюються.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Подання Декларації в разі переходу на спрощену систему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Порядок подання Декларації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Декларація з податку на прибуток подається за звітний період, що передує кварталу, з якого платник податку переходить на спрощену систему оподаткування.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Першим податковим періодом для СГ, які перейшли на спрощену систему, є період з 1-го числа місяця, що настає за наступним податковим (звітним) кварталом, у якому особу зареєстровано платником єдиного податку.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Перехід здійснюється протягом 40 к. д., що настають за останнім к. д. звітного (податкового) </w:t>
            </w:r>
            <w:proofErr w:type="gramStart"/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періоду..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294.3 ПК,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«ЗІР», категорія 102.23.01,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" w:tgtFrame="_blank" w:history="1">
              <w:r w:rsidRPr="00C931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лист ДФС</w:t>
              </w:r>
            </w:hyperlink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«Ліквідаційна» Декларація 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Подається обов’язково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Останнім податковим періодом вважається період, на який припадає дата ліквідації.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 дата ліквідації припадає на початок або середину звітного кварталу (року), то остання (ліквідаційна) декларація подається до закінчення звітного (податкового) кварталу (року), але не пізніше строків, установлених п. 49.18 ПК.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Додатком до декларації є комплект річної фінансової звітності (за період з початку року до дати ліквідації), у т. ч. ліквідаційний баланс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ПП. 137.4.3. ПК,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«ЗІР», категорія 102.23.01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Порядок заповнення Декларації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рядка 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Дохід від будь-якої діяльності (за вирахуванням непрямих податків 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ПДВ та акцизу), визначений за правилами бухгалтерського обліку.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Дані цього рядка використовуються для визначення об’єкта оподаткування:</w:t>
            </w:r>
          </w:p>
          <w:p w:rsidR="00C931A3" w:rsidRPr="00C931A3" w:rsidRDefault="00C931A3" w:rsidP="00C931A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коригування фінансового результату на всі податкові різниці, за умови що річний доход не перевищує 20 млн грн;</w:t>
            </w:r>
          </w:p>
          <w:p w:rsidR="00C931A3" w:rsidRPr="00C931A3" w:rsidRDefault="00C931A3" w:rsidP="00C931A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 коригуванням фінансового результату на всі податкові різниці, за умови що річний доход перевищує 20 млн 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Пп. 134.1.1 ПК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Для визначення річного доходу розраховується сумарне значення таких показників Звіту про фінансові результати (ф. № 2): </w:t>
            </w:r>
          </w:p>
          <w:p w:rsidR="00C931A3" w:rsidRPr="00C931A3" w:rsidRDefault="00C931A3" w:rsidP="00C931A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чистий дохід від реалізації продукції (товарів, робіт, послуг) (ряд. 2000) – Дт70 – Кт791,</w:t>
            </w:r>
          </w:p>
          <w:p w:rsidR="00C931A3" w:rsidRPr="00C931A3" w:rsidRDefault="00C931A3" w:rsidP="00C931A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 операційні доходи (ряд. 2120) – Дт71 – Кт791,</w:t>
            </w:r>
          </w:p>
          <w:p w:rsidR="00C931A3" w:rsidRPr="00C931A3" w:rsidRDefault="00C931A3" w:rsidP="00C931A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 від участі в капіталі (ряд. 2200) – Дт72 – Кт792,</w:t>
            </w:r>
          </w:p>
          <w:p w:rsidR="00C931A3" w:rsidRPr="00C931A3" w:rsidRDefault="00C931A3" w:rsidP="00C931A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 фінансові доходи (ряд. 2220) – Дт73 – Кт792,</w:t>
            </w:r>
          </w:p>
          <w:p w:rsidR="00C931A3" w:rsidRPr="00C931A3" w:rsidRDefault="00C931A3" w:rsidP="00C931A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 доходи (ряд. 2240) – Дт74 – Кт793.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визначення річного доходу «малодохідників» береться значення Фінансової звітності малого підприємства (ф. № 2-м) та мікропідприємства (ф. №2-мс) – ряд. 2280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Лист ГУ ДФС у м. Києві </w:t>
            </w:r>
            <w:hyperlink r:id="rId10" w:history="1">
              <w:r w:rsidRPr="00C931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від 16.03.16 р. № 6300/10/26-15-12-05-11</w:t>
              </w:r>
            </w:hyperlink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рядка 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Фінрезультат до оподаткування (прибуток або збиток), визначений у фінзвітності відповідно до НП(С)БО або МСФЗ (+, -):</w:t>
            </w:r>
          </w:p>
          <w:p w:rsidR="00C931A3" w:rsidRPr="00C931A3" w:rsidRDefault="00C931A3" w:rsidP="00C931A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 знаком (+) прибуток (ряд. 2290);</w:t>
            </w:r>
          </w:p>
          <w:p w:rsidR="00C931A3" w:rsidRPr="00C931A3" w:rsidRDefault="00C931A3" w:rsidP="00C931A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зі знаком (-) збиток (ряд. 2295);</w:t>
            </w:r>
          </w:p>
          <w:p w:rsidR="00C931A3" w:rsidRPr="00C931A3" w:rsidRDefault="00C931A3" w:rsidP="00C931A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ряд. 2290 з форми № 2-м або 2-мс.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Показники </w:t>
            </w:r>
            <w:proofErr w:type="gramStart"/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формах</w:t>
            </w:r>
            <w:proofErr w:type="gramEnd"/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звітності 2-м та 2-мс наводяться в тис. грн з одним десятковим знаком (п. 1 розд. І П(С)БО 25).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Показники в Декларацію переносяться у гривнях на підставі даних бухобліку, тобто гривні з копійками з округленням до гривень за загальновстановленими правилами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1" w:tgtFrame="_blank" w:history="1">
              <w:r w:rsidRPr="00C931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Лист ДПІ у Шевченківському районі ГУ ДФС у м. Києв</w:t>
              </w:r>
            </w:hyperlink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рядка 03 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Різниці, які виникають відповідно до ПК (+, -), заповнюється на підставі додатка до Декларації РІ, використовується загальний показник, відображений </w:t>
            </w:r>
            <w:proofErr w:type="gramStart"/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 ряд</w:t>
            </w:r>
            <w:proofErr w:type="gramEnd"/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 03 додатка РІ.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Різниці, які виникають у разі:</w:t>
            </w:r>
          </w:p>
          <w:p w:rsidR="00C931A3" w:rsidRPr="00C931A3" w:rsidRDefault="00C931A3" w:rsidP="00C931A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нарахування амортизації необоротних активів – ст. 138 ПК;</w:t>
            </w:r>
          </w:p>
          <w:p w:rsidR="00C931A3" w:rsidRPr="00C931A3" w:rsidRDefault="00C931A3" w:rsidP="00C931A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формування забезпечень (резервів) – ст. 139 ПК;</w:t>
            </w:r>
          </w:p>
          <w:p w:rsidR="00C931A3" w:rsidRPr="00C931A3" w:rsidRDefault="00C931A3" w:rsidP="00C931A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здійснення фінансових операцій – ст. 140 ПК;</w:t>
            </w:r>
          </w:p>
          <w:p w:rsidR="00C931A3" w:rsidRPr="00C931A3" w:rsidRDefault="00C931A3" w:rsidP="00C931A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 різниці – ст.41 розд III, ст.36 розд. ІІІ, ст. 39 розд. I, ст. 123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розд. II, підрозділ. 4 розд. XX 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рядка 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 оподаткування (+, -) = фінансовий результат (ряд. 02) + податкові різниці (ряд. 03РІ)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рядка 05ПЗ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Прибуток, звільнений від оподаткування, або збиток від діяльності, прибуток від якої звільнений від оподаткування (+, -).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Складається додаток ПЗ до Декларації, показник таблиці 1 додатка вноситься </w:t>
            </w:r>
            <w:proofErr w:type="gramStart"/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ряд</w:t>
            </w:r>
            <w:proofErr w:type="gramEnd"/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05ПЗ Декларації.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Звільняються від оподаткування:</w:t>
            </w:r>
          </w:p>
          <w:p w:rsidR="00C931A3" w:rsidRPr="00C931A3" w:rsidRDefault="00C931A3" w:rsidP="00C931A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підприємства та організації, які засновані громадськими організаціями інвалідів і є їх повною власністю;</w:t>
            </w:r>
          </w:p>
          <w:p w:rsidR="00C931A3" w:rsidRPr="00C931A3" w:rsidRDefault="00C931A3" w:rsidP="00C931A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 Чорнобильської АЕС на період підготовки до зняття з експлуатації енергоблоків Чорнобильської АЕС та перетворення об’єкта «Укриття» на екологічно безпечну систему;</w:t>
            </w:r>
          </w:p>
          <w:p w:rsidR="00C931A3" w:rsidRPr="00C931A3" w:rsidRDefault="00C931A3" w:rsidP="00C931A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 підприємств, отриманий за рахунок міжнародної технічної допомоги (п. 142.3 ПК);</w:t>
            </w:r>
          </w:p>
          <w:p w:rsidR="00C931A3" w:rsidRPr="00C931A3" w:rsidRDefault="00C931A3" w:rsidP="00C931A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 підприємств, отриманий за рахунок коштів, які передбачаються в держбюджеті як внесок України до Чорнобильського фонду «Укриття» для реалізації міжнародної програми - Плану здійснення заходів на об’єкті «Укриття</w:t>
            </w:r>
            <w:proofErr w:type="gramStart"/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;</w:t>
            </w:r>
            <w:proofErr w:type="gramEnd"/>
          </w:p>
          <w:p w:rsidR="00C931A3" w:rsidRPr="00C931A3" w:rsidRDefault="00C931A3" w:rsidP="00C931A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тимчасово, до 1 січня 2025 року, звільняється від оподаткування прибуток підприємств – суб’єктів літакобудування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Ст. 142 ПК,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41 підрозд. 4 розд. ХХ ПК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рядка 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Податок на прибуток ((позитивне значення) = (рядок 04 - рядок 05ПЗ) х 18 % / 100, тобто отриманий прибуток помножується на ставку податку на прибуток (18 %)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136.1 ПК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Коди рядків 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Заповнюють підприємства, які здійснюють види діяльності, зазначені в цих рядках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Ст. 141 ПК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рядка 16ЗП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Зменшення нарахованої суми податку. Вноситься показник, розрахований у додатку до Декларації ЗП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Сума податку зменшується на:</w:t>
            </w:r>
          </w:p>
          <w:p w:rsidR="00C931A3" w:rsidRPr="00C931A3" w:rsidRDefault="00C931A3" w:rsidP="00C931A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суму податку на прибуток, отриманий з іноземних джерел, що сплачений 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суб'єктами господарювання за кордоном (ряд. 16.1 додатка ЗП);</w:t>
            </w:r>
          </w:p>
          <w:p w:rsidR="00C931A3" w:rsidRPr="00C931A3" w:rsidRDefault="00C931A3" w:rsidP="00C931A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суму нарахованого та сплаченого авансового внеску у зв'язку з виплатою дивідендів (ряд. 16.4.1 додатка ЗП);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Якщо сума нарахованого зобов’язання з податку на прибуток менше суми авансового внеску або за результатами діяльності підприємство за звітний період отримало збитки, </w:t>
            </w:r>
            <w:r w:rsidRPr="00C931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сума перевищення авансового внеску переноситься</w:t>
            </w:r>
            <w:r w:rsidRPr="00C931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у зменшення податкових зобов’язань з податку на прибуток після отримання товариством в наступних податкових періодах прибутку до повного погашення (абзац п’ятий пп. 57.1</w:t>
            </w:r>
            <w:r w:rsidRPr="00C931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931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.2 ПК).</w:t>
            </w:r>
          </w:p>
          <w:p w:rsidR="00C931A3" w:rsidRPr="00C931A3" w:rsidRDefault="00C931A3" w:rsidP="00C931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суму сплаченого за поточний податковий (звітний) період акцизного податку за зареєстрованими акцизними накладними на важкі дистиляти (газойль), що класифікуються d товарних підкатегоріях 2710 19 43 00, 2710 19 46 00, 2710 19 47 10 згідно з УКТ ЗЕД, якщо вони були використані для транспортних засобів, що класифікуються в товарних підкатегоріях 8602 10 00 00, 8704 10 10 10 УКТ ЗЕД згідно з п. 15 підрозд. 4 розд. ХХ ПК (ряд. 16.5 додатка </w:t>
            </w:r>
            <w:proofErr w:type="gramStart"/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ЗП)*</w:t>
            </w:r>
            <w:proofErr w:type="gramEnd"/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Якщо платник податку на прибуток у звітному періоді не отримав прибутку або сума податку на прибуток менша за суму акцизного податку, залишок суми такого податку, не врахований у зменшення податку на прибуток за поточний податковий (звітний) період, </w:t>
            </w:r>
            <w:r w:rsidRPr="00C931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не зменшує податок на прибуток у </w:t>
            </w:r>
            <w:r w:rsidRPr="00C931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lastRenderedPageBreak/>
              <w:t>наступних податкових (звітних) періодах.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П. 15 підрозд. 4 розд. ХХ ПК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>*Щодо права зменшення суми податку на прибуток споживачами палива. Право зменшувати суму податку на прибуток (наявність умов набуття права застосування норми п. 15 підрозд. 4 розд. ХХ ПК.) мають споживачі пального в разі виконання таких умов:</w:t>
            </w:r>
          </w:p>
          <w:p w:rsidR="00C931A3" w:rsidRPr="00C931A3" w:rsidRDefault="00C931A3" w:rsidP="00C931A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Сплата постачальнику вартості підакцизного товару, в ціну якого включено суму акцизного податку, та отримання від постачальника зареєстрованої акцизної накладної.</w:t>
            </w:r>
          </w:p>
          <w:p w:rsidR="00C931A3" w:rsidRPr="00C931A3" w:rsidRDefault="00C931A3" w:rsidP="00C931A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Використання отриманого пального для транспортних засобів, що класифікуються в товарних підкатегоріях 8602 10 00 00, 8704 10 10 10 згідно з УКТ ЗЕД.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Пункт 15 підрозд. 4 розд.у ХХ ПК. жодним чином не обмежує право використання цього пункту виключно суб'єктами господарювання, які є платниками акцизного податку з реалізації пального, оскільки акцизний податок є непрямим податком, а тому його фактичними платниками є споживачі пального, які сплачують податок у складі ціни на пальне. 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Тобто дія п. 15 поширюється не лише на платників акцизного податку з реалізації пального (постачальників), які в поточному звітному періоді здійснили сплату акцизного податку </w:t>
            </w:r>
            <w:proofErr w:type="gramStart"/>
            <w:r w:rsidRPr="00C9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 бюджету</w:t>
            </w:r>
            <w:proofErr w:type="gramEnd"/>
            <w:r w:rsidRPr="00C9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 які можуть на зазначені суми сплаченого податку зменшити податок на прибуток, що підлягає сплаті до держбюджету за відповідний податковий (звітний) період, а також і на споживачів пального за виконання двох вищенаведених умов.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Рішення Полтавського окружного адміністративного суду </w:t>
            </w:r>
            <w:hyperlink r:id="rId12" w:tgtFrame="_blank" w:history="1">
              <w:r w:rsidRPr="00C931A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ru-RU" w:eastAsia="ru-RU"/>
                </w:rPr>
                <w:t>від 17.04.19 р. у справі № 440/968/19</w:t>
              </w:r>
            </w:hyperlink>
            <w:r w:rsidRPr="00C9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 Постановою Другого апеляційного адміністративного суду</w:t>
            </w:r>
            <w:hyperlink r:id="rId13" w:tgtFrame="_blank" w:history="1">
              <w:r w:rsidRPr="00C931A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ru-RU" w:eastAsia="ru-RU"/>
                </w:rPr>
                <w:t xml:space="preserve"> від 23.07.19 р. у справі № 440/968/19</w:t>
              </w:r>
            </w:hyperlink>
            <w:r w:rsidRPr="00C9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рішення Полтавського окружного адміністративного суду залишено без змін, а ухвалою ВСУ у складі колегії суддів Касаційного адміністративного суду від 29.08.19 р. відмовлено у відкритті касаційного провадження за касаційною скаргою ДФС.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рядка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Податок на прибуток за звітний (податковий) період (ряд. 06 + ряд. 08 + ряд. 10 + ряд. 12 + ряд. 15 – ряд. 16 ЗП) (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позитивне значення)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рядка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Податок на прибуток за результатами попереднього звітного (податкового) періоду поточного року з урахуванням уточнень (ряд. 17 Декларації за попередній звітний (податковий) період поточного року) Заповнюється платниками, які подають звітність поквартально.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рядка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Податок на прибуток, нарахований за результатами останнього (звітного) податкового періоду (ряд. 17 – ряд. 18) (+, -)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рядка 20АВ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Сума авансового внеску при виплаті дивідендів, що має бути сплачена у звітному (податковому) періоді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Заповнюється додаток АВ «Розрахунок авансового внеску з податку на прибуток підприємств на суму виплачених дивідендів (прирівняних до них платежів)».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Авансовий внесок відображається в Декларації ряд. 20АВ = ряд. 6 додатка АВ = ряд. 16.2 додатка ЗП.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Авансовий </w:t>
            </w:r>
            <w:proofErr w:type="gramStart"/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внесок 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proofErr w:type="gramEnd"/>
          </w:p>
          <w:p w:rsidR="00C931A3" w:rsidRPr="00C931A3" w:rsidRDefault="00C931A3" w:rsidP="00C931A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розраховується з суми перевищення дивідендів, що підлягають виплаті, над значенням об’єкта оподаткування за відповідний податковий (звітний) рік, за результатами якого виплачуються дивіденди;</w:t>
            </w:r>
          </w:p>
          <w:p w:rsidR="00C931A3" w:rsidRPr="00C931A3" w:rsidRDefault="00C931A3" w:rsidP="00C931A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розраховується з усієї суми дивідендів за умови, що грошове зобов’язання з податку на прибуток не сплачене (абзац другий пп. 57.1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 ПК);</w:t>
            </w:r>
          </w:p>
          <w:p w:rsidR="00C931A3" w:rsidRPr="00C931A3" w:rsidRDefault="00C931A3" w:rsidP="00C931A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вноситься </w:t>
            </w:r>
            <w:proofErr w:type="gramStart"/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бюджету</w:t>
            </w:r>
            <w:proofErr w:type="gramEnd"/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до/або одночасно з виплатою дивідендів (абзац третій пп. 57.1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.2. ПК).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 сума нарахованого зобов’язання з податку на прибуток менша суми авансового внеску або за результатами діяльності підприємство за звітний період отримало збитки (від’ємне значення об’єкта оподаткування), сума перевищення авансового внеску переноситься у зменшення податкових зобов’язань з податку на прибуток після отримання підприємством в наступних податкових періодах прибутку до повного погашення (абзац п’ятий пп. 57.1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 ПК).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Авансовий внесок не справляється:</w:t>
            </w:r>
          </w:p>
          <w:p w:rsidR="00C931A3" w:rsidRPr="00C931A3" w:rsidRDefault="00C931A3" w:rsidP="00C931A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користь власників корпоративних прав материнської компанії, що сплачуються в межах сум доходів такої компанії, отриманих у вигляді дивідендів від інших осіб (абзац другий пп. 57.1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.3 ПК);</w:t>
            </w:r>
          </w:p>
          <w:p w:rsidR="00C931A3" w:rsidRPr="00C931A3" w:rsidRDefault="00C931A3" w:rsidP="00C931A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платником податку на прибуток, прибуток якого звільнений від оподаткування (абзац третій пп. 57.1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.3 ПК);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Це правило не стосується</w:t>
            </w:r>
            <w:r w:rsidRPr="00C931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платників податку, які до 31.12.21 р. застосовують ставку 0 % та які здійснюють нарахування та виплату дивідендів. Такі платники зобов’язані нараховувати та сплачувати авансовий внесок та сплачувати податок на прибуток за ставкою 18 % за період, у якому здійснювалося нарахування та виплата дивідендів (п. 44 підрозд. 4 розд. ХХ ПК).</w:t>
            </w:r>
          </w:p>
          <w:p w:rsidR="00C931A3" w:rsidRPr="00C931A3" w:rsidRDefault="00C931A3" w:rsidP="00C931A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інститути спільного інвестування (пп. 57.1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.6. ПК);</w:t>
            </w:r>
          </w:p>
          <w:p w:rsidR="00C931A3" w:rsidRPr="00C931A3" w:rsidRDefault="00C931A3" w:rsidP="00C931A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разі виплати дивідендів платниками єдиного податку (ЮО 3-ї та 4-ї груп) фізичній особі (абзац четвертий пп. 57.1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.3 ПК);</w:t>
            </w:r>
          </w:p>
          <w:p w:rsidR="00C931A3" w:rsidRPr="00C931A3" w:rsidRDefault="00C931A3" w:rsidP="00C931A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разі виплати дивідендів платниками єдиного податку (ЮО 3-ї та 4-ї груп) засновнику – юрособі-резиденту.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П. 57.1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ПК,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44 підрозд. 4 розд. ХХ ПК,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лист ДФС </w:t>
            </w:r>
            <w:hyperlink r:id="rId14" w:history="1">
              <w:r w:rsidRPr="00C931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від 26.03.18 р. № 8773/7/99-99-15-02-02-17</w:t>
              </w:r>
            </w:hyperlink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рядка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Сума авансового внеску в разі виплати дивідендів, що має бути сплачена за результатами попереднього звітного (податкового) періоду поточного року, з урахуванням уточнень (ряд. 20 АВ Декларації за попередній звітний (податковий) період поточного року). Заповнюється платниками, які подають звітність поквартально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рядка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Сума авансового внеску при виплаті дивідендів, нарахована за результатами останнього (звітного) податкового періоду (ряд. 20 АВ – ряд. 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рядка 23ПН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Сума податків, які утримуються в разі виплати доходів (прибутків) нерезидентам, нарахованих за звітний (податковий) період.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Розрахунок податку здійснюється в додатку ПН.</w:t>
            </w:r>
          </w:p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 із приміткою до додатка ПН [3] додаток заповнюється окремо за кожним нерезидентом, якому виплачуються дохід, тому сума сплаченого нерезиденту доходу відображається в ряд. 23 Декларації з ряд. 28 гр. 6 додатка ПН з підсумком додатків ПН по кожному нерезиденту.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Ст. 103, п. 141.4 ПК</w:t>
            </w: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рядка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Сума податків, які утримуються в разі виплати доходів (прибутків) нерезидентам за результатами попереднього звітного (податкового) періоду поточного року, з урахуванням уточнень (ряд. 23 ПН Декларації за попередній звітний (податковий) період поточного року). Заповнюється платниками, які подають звітність поквартально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931A3" w:rsidRPr="00C931A3" w:rsidTr="00C931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Код рядка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3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Сума податків, які утримуються в разі виплати доходів (прибутків) нерезидентам, нарахованих за результатами останнього (звітного) податкового періоду (ряд. 23 ПН – ряд. 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1A3" w:rsidRPr="00C931A3" w:rsidRDefault="00C931A3" w:rsidP="00C9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DD8"/>
    <w:multiLevelType w:val="multilevel"/>
    <w:tmpl w:val="F578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B159A"/>
    <w:multiLevelType w:val="multilevel"/>
    <w:tmpl w:val="EDD0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72DA6"/>
    <w:multiLevelType w:val="multilevel"/>
    <w:tmpl w:val="FE42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7124E"/>
    <w:multiLevelType w:val="multilevel"/>
    <w:tmpl w:val="E8FA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44AD4"/>
    <w:multiLevelType w:val="multilevel"/>
    <w:tmpl w:val="B35A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6342C"/>
    <w:multiLevelType w:val="multilevel"/>
    <w:tmpl w:val="878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92F56"/>
    <w:multiLevelType w:val="multilevel"/>
    <w:tmpl w:val="41D8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A03FE"/>
    <w:multiLevelType w:val="multilevel"/>
    <w:tmpl w:val="9BD4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96B87"/>
    <w:multiLevelType w:val="multilevel"/>
    <w:tmpl w:val="CA58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9360A"/>
    <w:multiLevelType w:val="multilevel"/>
    <w:tmpl w:val="93DE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B262D7"/>
    <w:multiLevelType w:val="multilevel"/>
    <w:tmpl w:val="1CA0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B600C0"/>
    <w:multiLevelType w:val="multilevel"/>
    <w:tmpl w:val="C2E6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D1314"/>
    <w:multiLevelType w:val="multilevel"/>
    <w:tmpl w:val="2C46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A63A6"/>
    <w:multiLevelType w:val="multilevel"/>
    <w:tmpl w:val="39E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7C143A"/>
    <w:multiLevelType w:val="multilevel"/>
    <w:tmpl w:val="4A60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3C4900"/>
    <w:multiLevelType w:val="multilevel"/>
    <w:tmpl w:val="9296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644700"/>
    <w:multiLevelType w:val="multilevel"/>
    <w:tmpl w:val="3F6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765CFE"/>
    <w:multiLevelType w:val="multilevel"/>
    <w:tmpl w:val="6B8A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603AA0"/>
    <w:multiLevelType w:val="multilevel"/>
    <w:tmpl w:val="88C8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66040E"/>
    <w:multiLevelType w:val="multilevel"/>
    <w:tmpl w:val="5A46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16"/>
  </w:num>
  <w:num w:numId="5">
    <w:abstractNumId w:val="13"/>
  </w:num>
  <w:num w:numId="6">
    <w:abstractNumId w:val="19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11"/>
  </w:num>
  <w:num w:numId="13">
    <w:abstractNumId w:val="14"/>
  </w:num>
  <w:num w:numId="14">
    <w:abstractNumId w:val="15"/>
  </w:num>
  <w:num w:numId="15">
    <w:abstractNumId w:val="4"/>
  </w:num>
  <w:num w:numId="16">
    <w:abstractNumId w:val="6"/>
  </w:num>
  <w:num w:numId="17">
    <w:abstractNumId w:val="10"/>
  </w:num>
  <w:num w:numId="18">
    <w:abstractNumId w:val="2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A3"/>
    <w:rsid w:val="00276DFF"/>
    <w:rsid w:val="00C931A3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CC3CE-6756-4665-AB92-ABE3D6BD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C931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C93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C931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31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31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931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9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C93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yestr.court.gov.ua/Review/75906900" TargetMode="External"/><Relationship Id="rId13" Type="http://schemas.openxmlformats.org/officeDocument/2006/relationships/hyperlink" Target="http://reyestr.court.gov.ua/Review/833226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.sfs.gov.ua/media-ark/news-ark/329649.html" TargetMode="External"/><Relationship Id="rId12" Type="http://schemas.openxmlformats.org/officeDocument/2006/relationships/hyperlink" Target="http://reyestr.court.gov.ua/Review/8153237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v.sfs.gov.ua/media-ark/news-ark/print-292281.html" TargetMode="External"/><Relationship Id="rId11" Type="http://schemas.openxmlformats.org/officeDocument/2006/relationships/hyperlink" Target="http://kyiv.sfs.gov.ua/okremi-storinki/arhiv1/269973.html" TargetMode="External"/><Relationship Id="rId5" Type="http://schemas.openxmlformats.org/officeDocument/2006/relationships/hyperlink" Target="http://sfs.gov.ua/podatki-ta-zbori/zagalnoderjavni-podatki/podatok-na-pributok-pidpri/listi-dps/368207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uteka.ua/ua/publication/news-14-ezhednevnyj-buxgalterskij-obzor-39-kak-opredelyat-godovoj-doxod-ot-lyuboj-deyatelnosti-ustanovlennyj-po-pravilam-buxuche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yiv.sfs.gov.ua/okremi-storinki/arhiv1/print-245087.html" TargetMode="External"/><Relationship Id="rId14" Type="http://schemas.openxmlformats.org/officeDocument/2006/relationships/hyperlink" Target="http://uteka.ua/ua/publication/news-14-ezhednevnyj-buxgalterskij-obzor-39-nachislenie-i-uplata-avansovogo-vznosa-pri-vyplate-dividend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3475</Words>
  <Characters>19809</Characters>
  <Application>Microsoft Office Word</Application>
  <DocSecurity>0</DocSecurity>
  <Lines>165</Lines>
  <Paragraphs>46</Paragraphs>
  <ScaleCrop>false</ScaleCrop>
  <Company/>
  <LinksUpToDate>false</LinksUpToDate>
  <CharactersWithSpaces>23238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2019-10-24T07:11:00Z</dcterms:created>
  <dcterms:modified xsi:type="dcterms:W3CDTF">2019-10-24T07:12:00Z</dcterms:modified>
</cp:coreProperties>
</file>