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7C" w:rsidRPr="00CB4E7C" w:rsidRDefault="00CB4E7C" w:rsidP="00CB4E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bookmarkStart w:id="0" w:name="_GoBack"/>
      <w:bookmarkEnd w:id="0"/>
      <w:r w:rsidRPr="00CB4E7C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Особенности заполнения и представления Декларации по налогу на прибыль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555"/>
        <w:gridCol w:w="3801"/>
        <w:gridCol w:w="2340"/>
      </w:tblGrid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Требования по представлению и заполнению Декларации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Ссылка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«Отчетная» налоговая декларация (поле 1 Декларации)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Подается в течение 40 к. д., следующих за последним к. д. отчетного (налогового) квартала (полугодия).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поле 2 указывается отчетный период, за который подается декларация.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любая строка Декларации или приложения к ней не заполняется из-за отсутствия операции (суммы), то такая строка прочеркивается.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Приложения к отдельным строкам Декларации, не заполненные из-за отсутствия операций (показателей), в контролирующий орган не подаются.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Декларация заполняется на основании первичных документов,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гривнях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копеек с соответствующим округлением по общеустановленным правилам.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Представление финансовой отчетности вместе с отчетной (отчетной новой) Декларацией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обязательно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46.2, пп. 49.18.2 НК;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Обязательные реквизиты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Должны быть заполнены следующие обязательные реквизиты Декларации: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 документа (отчетный, уточняющий, отчетный новый) – поле 1;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полное наименование согласно регистрационным документам – поле 4;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код налогоплательщика (ЕГРПОУ) согласно ЕГР и код КВЭД, который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является основным, – поле 5;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местонахождение налогоплательщика – поле 6;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резидента – поле 7;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контролирующего органа, в который подается отчетность, – поле 8;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особые отметки – поле 9, для указанных в поле плательщиков;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представления отчета (или дата заполнения – в зависимости от формы);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 приложениях, которые прилагаются;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 и регистрационные номера учетных карточек должностных лиц;</w:t>
            </w:r>
          </w:p>
          <w:p w:rsidR="00CB4E7C" w:rsidRPr="00CB4E7C" w:rsidRDefault="00CB4E7C" w:rsidP="00CB4E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подписи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48.3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Необязательные реквизиты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листов приложений. В строке «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___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арк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.» указывается количество приложений к декларации. В общем количестве листов учитывается, в частности, количество листов по формам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являющейся неотъемлемой частью Декларации.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Ответственность за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неуказание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неправильное указание количества приложений не предусмотрена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Отметка о неприменении налоговых разниц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столбце «Про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незастосування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різниць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…» проставляется номер и дата распорядительного документа предприятия, на основании которого принято такое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Кто применяет все налоговые разницы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Предприятия, годовой доход которых превышает 20 млн грн.</w:t>
            </w:r>
          </w:p>
          <w:p w:rsidR="00CB4E7C" w:rsidRPr="00CB4E7C" w:rsidRDefault="00CB4E7C" w:rsidP="00CB4E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Предприятия – «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малодоходники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с годовым доходом до 20 млн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которые добровольно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решили применять налоговые разницы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Пп. 134.1.1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 каком языке заполняется Декларация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Декларация заполняется на государственном языке – украинском (применение государственного языка в нормативных актах, делопроизводстве и документообороте органов государственной власти и местного самоуправления обязательно, поэтому налоговую отчетность – в электронном или бумажном виде следует представлять на украинском языке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13 Закона от 25.04.19 г. № 2704-VIII «Об обеспечении функционирования украинского языка как государственного»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Не считается Декларацией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отчетность, составленная с нарушением норм ст. 48 НК, не считается налоговой декларацией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48.7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Кто подает квартальную Декларацию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Квартальную Декларацию нарастающим итогом подают предприятия, годовой доход которых превышает 20 млн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малые предприятия – квартальные плательщики налога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137.4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Кто подает годовую Декларацию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Годовую Декларацию подают:</w:t>
            </w:r>
          </w:p>
          <w:p w:rsidR="00CB4E7C" w:rsidRPr="00CB4E7C" w:rsidRDefault="00CB4E7C" w:rsidP="00CB4E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новосозданные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предприятия;</w:t>
            </w:r>
          </w:p>
          <w:p w:rsidR="00CB4E7C" w:rsidRPr="00CB4E7C" w:rsidRDefault="00CB4E7C" w:rsidP="00CB4E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производители сельскохозяйственной продукции;</w:t>
            </w:r>
          </w:p>
          <w:p w:rsidR="00CB4E7C" w:rsidRPr="00CB4E7C" w:rsidRDefault="00CB4E7C" w:rsidP="00CB4E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годовой доход не превышает 20 млн грн.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137.5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 какой форме подавать Декларацию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Налогоплательщики, которые относятся к крупным и средним предприятиям, – в электронной форме.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Малые предприятия и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могут подавать как в электронной, так и в бумажной форме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49.4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Декларация по налогу на прибыль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и плательщики единого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Плательщики единого налога, осуществляющие какие-либо выплаты в пользу нерезидента-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юрлица или уполномоченного им лица, должны:</w:t>
            </w:r>
          </w:p>
          <w:p w:rsidR="00CB4E7C" w:rsidRPr="00CB4E7C" w:rsidRDefault="00CB4E7C" w:rsidP="00CB4E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проставить отметку в поле 9 строки – «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єдиного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</w:p>
          <w:p w:rsidR="00CB4E7C" w:rsidRPr="00CB4E7C" w:rsidRDefault="00CB4E7C" w:rsidP="00CB4E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подавать приложение ПН к строке 23 Декларации.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Другие приложения или финансовая отчетность плательщиками единого налога не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подаются )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297.5 НК,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 xml:space="preserve">письмо ГФС от 13.02.19 г. № </w:t>
              </w:r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lastRenderedPageBreak/>
                <w:t>4622/7/99-99-15-02-01-17</w:t>
              </w:r>
            </w:hyperlink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Право не подавать Декларацию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Плательщики налога на прибыль имеют право не подавать в контролирующие органы налоговую декларацию по налогу на прибыль предприятий и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финотчетность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отсутствия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объектов налогообложения или показателей, подлежащих декларированию в соответствии с требованиями 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49.2 ПК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ОИР,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Исправление ошибок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Исправление путем представления «Отчетной новой» Декларации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(поле 1 Декларации)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Подается до окончания предельного срока представления Декларации.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после представления декларации за отчетный период налогоплательщик подает новую декларацию с исправленными показателями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до окончания предельного срока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представления декларации за такой же отчетный (налоговый) период, то такая декларация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является отчетной (новой)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не считается уточняющей.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Представление финансовой отчетности вместе с отчетной новой декларацией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обязательно.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до предельного срока представления подается Декларация с признаком «Отчетная новая», то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финотчетность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показатели которой не подлежат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исправлению, повторно можно не представлять.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до предельного срока представления Декларации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выявлены ошибки, которые влияют на показатели Декларации, такие уточнения осуществляются в «Отчетной новой» Декларации с представлением к такой Декларации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исправленными показателями.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поле 2 указывается отчетный период, за который подается декларация.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представлении «Отчетной новой» Декларации до окончания предельного срока представления с исправленными показателями штрафные санкции, предусмотренные п. 50.1 НК, не применяются.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Лист ДФС</w:t>
              </w:r>
            </w:hyperlink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Исправление путем представления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Уточняющей» налоговой декларации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(поле 1 Декларации)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окончании предельного срока представления Декларации.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случае факта занижения налогового обязательства уплачивается:</w:t>
            </w:r>
          </w:p>
          <w:p w:rsidR="00CB4E7C" w:rsidRPr="00CB4E7C" w:rsidRDefault="00CB4E7C" w:rsidP="00CB4E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недоплаты;</w:t>
            </w:r>
          </w:p>
          <w:p w:rsidR="00CB4E7C" w:rsidRPr="00CB4E7C" w:rsidRDefault="00CB4E7C" w:rsidP="00CB4E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штраф 3 % от суммы недоплаты до представления уточняющего расчета (занижение налогового обязательства). Штраф начисляется даже при наличии переплаты по налогу на прибыль в ИКП, порядок ведения которой определен приказом Минфина от 07.04.16 г. № 422. В случае уменьшения налогового обязательства путем представления уточняющего расчета штраф не начисляется*;</w:t>
            </w:r>
          </w:p>
          <w:p w:rsidR="00CB4E7C" w:rsidRPr="00CB4E7C" w:rsidRDefault="00CB4E7C" w:rsidP="00CB4E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пеня после истечения 90 к. д., следующих за последним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днем предельного срока уплаты налогового обязательства;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Уточняющий расчет представляется по форме, действующей на время его представления.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поле 2 и 3 указывается отчетный (налоговый) период, который уточняется, то есть они будут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аналогичны.;</w:t>
            </w:r>
            <w:proofErr w:type="gramEnd"/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Начисленные налоговые обязательства, штраф и пеня могут быть в автоматическом режиме погашены за счет имеющейся переплаты с отражением показателей налоговой отчетности в ИКП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Абзацы первый, четвертый п. 50.1, пп. 129.1.3 НК;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письмо ГУ ГФС в Закарпатской области</w:t>
              </w:r>
            </w:hyperlink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«а» п. 87.1 НК, «ОИР» категория 135.04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исправлении ошибок в уточняющей декларации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можно не представлять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финотчетность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повторно при условии, что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представленной с декларацией за отчетные (налоговые) периоды, которые уточняются, не подлежат исправлению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Уточняющий расчет подается с учетом сроков давности – 1095 дней, следующих:</w:t>
            </w:r>
          </w:p>
          <w:p w:rsidR="00CB4E7C" w:rsidRPr="00CB4E7C" w:rsidRDefault="00CB4E7C" w:rsidP="00CB4E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последним днем предельного срока представления декларации (предельный срок – срок, установленный ст. 49 НК);</w:t>
            </w:r>
          </w:p>
          <w:p w:rsidR="00CB4E7C" w:rsidRPr="00CB4E7C" w:rsidRDefault="00CB4E7C" w:rsidP="00CB4E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днем ее фактического представления, если налоговая декларация была представлена позже (если декларация представлена с нарушением установленного срока представления – после его окончания)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Абзац первый п. 102.1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О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начислениия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штрафа согласно ст. 126 НК за неуплату согласованной суммы денежного обязательства в установленные сроки в случае уменьшения налоговых обязательств по налогу на прибыль прошлых налоговых периодов. Представление уточняющих налоговых деклараций по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налогу на прибыль, которыми уменьшены суммы самостоятельно определенных денежных обязательств, не является уплатой долга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 налога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прибыль, а влечет за собой только изменение ранее задекларированных налоговых обязательств, в данном случае путем их уменьшения, и никоим образом не может быть приравнено к погашению налогового долга для целей начисления штрафа в соответствии с положениями ст. 126 НК.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 соответствии с п. 50.1 НК в случае, если в будущих налоговых периодах налогоплательщик самостоятельно выявляет ошибки, которые содержатся в ранее представленной им налоговой декларации, он обязан отправить уточняющий расчет к такой налоговой декларации по форме действующего на время представления уточняющего расчета.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Несвоевременная уплата налогового обязательства на сумму, уменьшенную предприятием путем представления уточняющей декларации, не является объектом применения штрафа (постановление ВСУ в составе коллегии судей Кассационного административного суда </w:t>
            </w:r>
            <w:hyperlink r:id="rId8" w:tgtFrame="_blank" w:history="1">
              <w:r w:rsidRPr="00CB4E7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от 14.08.18 г. по делу № 818/1507/17</w:t>
              </w:r>
            </w:hyperlink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Исправления в составе декларации, которая подается за налоговый период, следующий за периодом, в котором выявлен факт занижения налогового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Штраф в размере 5 % от суммы недоплаты, с соответствующим увеличением общей суммы денежного обязательства по налогу на прибыль.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поле 1 указывается «отчетная (отчетная новая)»;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поле 2 – отчетный период, за который подается декларация;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поле 3 – отчетный период, за который производится уточнение;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заполняется приложение к декларации ВП;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суммы уменьшения (увеличения) налогового обязательства по налогу на прибыль переносятся в декларацию в стр. 26-34;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исправленная финансовая отчетность представляется в случае, если при заполнении приложения ВП исправляются показатели, отраженные в стр. 01 и 02;</w:t>
            </w:r>
          </w:p>
          <w:p w:rsidR="00CB4E7C" w:rsidRPr="00CB4E7C" w:rsidRDefault="00CB4E7C" w:rsidP="00CB4E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Декларация подается после представления исправленной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электронной форме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Абзац пятый п. 50.1 НК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102.23.02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Исправления по результатам проверки ГФС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Самостоятельные исправления в соответствии со ст. 50 НК увеличенных/уменьшенных налоговых обязательств по налогу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 прибыль за период, который проверялся, не производятся.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Представление Декларации в случае перехода на упрощенную систему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Порядок представления Декларации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Декларация по налогу на прибыль представляется за отчетный период, предшествующий кварталу, с которого налогоплательщик переходит на упрощенную систему налогообложения.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Первым налоговым периодом для СХ, которые перешли на упрощенную систему, будет период с 1-го числа месяца, следующего за следующим налоговым (отчетным) кварталом, в котором лицо зарегистрировано плательщиком единого налога.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 производится в течение 40 к. д., следующих за последним к. д. отчетного (налогового) периода.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294.3 НК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102.23.01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письмо ДФС</w:t>
              </w:r>
            </w:hyperlink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«Ликвидационная» Декларация 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Представляется в обязательном порядке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Последним налоговым периодом считается период, на который приходится дата ликвидации.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дата ликвидации приходится на начало или середину отчетного квартала (года), то последняя (ликвидационная) декларация подается до окончания отчетного (налогового) квартала (года), но не позднее сроков, установленных п. 49.18 НК.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Приложением к декларации является комплект годовой финансовой отчетности (за период с начала года до даты ликвидации),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ликвидационный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137.4.3 НК,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«ОИР», категория 102.23.01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Порядок заполнения Декларации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Доход от любой деятельности (за вычетом косвенных налогов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НДС и акциза), определенный по правилам бухгалтерского учета.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Данные этой строки используются для определения объекта налогообложения:</w:t>
            </w:r>
          </w:p>
          <w:p w:rsidR="00CB4E7C" w:rsidRPr="00CB4E7C" w:rsidRDefault="00CB4E7C" w:rsidP="00CB4E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без корректировки финансового результата на все налоговые разницы,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условии что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годовой доход не превышает 20 млн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CB4E7C" w:rsidRPr="00CB4E7C" w:rsidRDefault="00CB4E7C" w:rsidP="00CB4E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корректировкой финансового результата на все налоговые разницы,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условии что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годовой доход превышает 20 млн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Пп. 134.1.1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Для определения годового дохода рассчитывается суммарное значение следующих показателей Отчета о финансовых результатах (ф. № 2): </w:t>
            </w:r>
          </w:p>
          <w:p w:rsidR="00CB4E7C" w:rsidRPr="00CB4E7C" w:rsidRDefault="00CB4E7C" w:rsidP="00CB4E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чистый доход от реализации продукции (товаров, работ, услуг) (стр. 2000) – Дт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70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791</w:t>
            </w:r>
          </w:p>
          <w:p w:rsidR="00CB4E7C" w:rsidRPr="00CB4E7C" w:rsidRDefault="00CB4E7C" w:rsidP="00CB4E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операционные доходы (стр. 2120) – Дт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71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791</w:t>
            </w:r>
          </w:p>
          <w:p w:rsidR="00CB4E7C" w:rsidRPr="00CB4E7C" w:rsidRDefault="00CB4E7C" w:rsidP="00CB4E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доход от участия в капитале (стр. 2200) – Дт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72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792</w:t>
            </w:r>
          </w:p>
          <w:p w:rsidR="00CB4E7C" w:rsidRPr="00CB4E7C" w:rsidRDefault="00CB4E7C" w:rsidP="00CB4E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финансовые доходы (стр. 2220) – Дт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73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792</w:t>
            </w:r>
          </w:p>
          <w:p w:rsidR="00CB4E7C" w:rsidRPr="00CB4E7C" w:rsidRDefault="00CB4E7C" w:rsidP="00CB4E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доходы (стр. 2240) – Дт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74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793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определения годового дохода «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малодоходников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берется значение Финансовой отчетности малого предприятия (ф. № 2-м) и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(ф. №2-мс) – стр. 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Письмо ГУ ГФС в г. Киеве </w:t>
            </w:r>
            <w:hyperlink r:id="rId10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от 16.03.16 г. № 6300/10/26-15-12-05-11</w:t>
              </w:r>
            </w:hyperlink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налогообложения (прибыль или убыток), определенный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финотчетности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соответствии с НП(С)БУ или МСФО (+, -):</w:t>
            </w:r>
          </w:p>
          <w:p w:rsidR="00CB4E7C" w:rsidRPr="00CB4E7C" w:rsidRDefault="00CB4E7C" w:rsidP="00CB4E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 знаком (+) прибыль (стр. 2290);</w:t>
            </w:r>
          </w:p>
          <w:p w:rsidR="00CB4E7C" w:rsidRPr="00CB4E7C" w:rsidRDefault="00CB4E7C" w:rsidP="00CB4E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 знаком (-) убыток (стр. 2295);</w:t>
            </w:r>
          </w:p>
          <w:p w:rsidR="00CB4E7C" w:rsidRPr="00CB4E7C" w:rsidRDefault="00CB4E7C" w:rsidP="00CB4E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стр. 2290 из формы № 2-м или 2-мс.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в формах отчетности 2-м и 2-мс приводятся в тыс.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одним десятичным знаком (п. 1 разд. I П(С) БУ 25).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в Декларацию переносятся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гривнях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основании данных бухучета, то есть гривни с копейками с округлением до гривен по общеустановленным правилам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Письмо ГНИ в Шевченковском районе ГУ ГФС в м. Киеве</w:t>
              </w:r>
            </w:hyperlink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03 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Разницы, возникающие в соответствии с НК (+, -), заполняется на основании приложения к Декларации РІ, используется общий показатель, отраженный в стр. 03 приложения РІ.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Разницы, возникающие при:</w:t>
            </w:r>
          </w:p>
          <w:p w:rsidR="00CB4E7C" w:rsidRPr="00CB4E7C" w:rsidRDefault="00CB4E7C" w:rsidP="00CB4E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начислении амортизации необоротных активов – ст. 138 НК;</w:t>
            </w:r>
          </w:p>
          <w:p w:rsidR="00CB4E7C" w:rsidRPr="00CB4E7C" w:rsidRDefault="00CB4E7C" w:rsidP="00CB4E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формировании обеспечений (резервов) – ст. 139 НК;</w:t>
            </w:r>
          </w:p>
          <w:p w:rsidR="00CB4E7C" w:rsidRPr="00CB4E7C" w:rsidRDefault="00CB4E7C" w:rsidP="00CB4E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осуществлении финансовых операций – ст. 140 НК;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разницы – ст. 41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III, ст.36 разд. ІІІ, ст. 39 разд. I, ст. 123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разд. II, подраздел. 4 разд. XX 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 налогообложения (+, -) = финансовый результат (стр. 02) + налоговые разницы (стр. 03РІ)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05ПЗ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Прибыль, освобожденная от налогообложения, или убыток от деятельности, прибыль от которой освобождена от налогообложения (+, -).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Составляется приложение ПЗ к Декларации, показатель таблицы 1 приложения вносится в стр. 05ПЗ Декларации.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Освобождаются от налогообложения:</w:t>
            </w:r>
          </w:p>
          <w:p w:rsidR="00CB4E7C" w:rsidRPr="00CB4E7C" w:rsidRDefault="00CB4E7C" w:rsidP="00CB4E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предприятия и организации, которые основаны общественными организациями инвалидов и являются их полной собственностью;</w:t>
            </w:r>
          </w:p>
          <w:p w:rsidR="00CB4E7C" w:rsidRPr="00CB4E7C" w:rsidRDefault="00CB4E7C" w:rsidP="00CB4E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прибыль Чернобыльской АЭС на период подготовки к снятию с эксплуатации энергоблоков Чернобыльской АЭС и превращения объекта «Укрытия» на экологически безопасную систему;</w:t>
            </w:r>
          </w:p>
          <w:p w:rsidR="00CB4E7C" w:rsidRPr="00CB4E7C" w:rsidRDefault="00CB4E7C" w:rsidP="00CB4E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прибыль предприятий, полученная за счет международной технической помощи (п. 142.3 НК);</w:t>
            </w:r>
          </w:p>
          <w:p w:rsidR="00CB4E7C" w:rsidRPr="00CB4E7C" w:rsidRDefault="00CB4E7C" w:rsidP="00CB4E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прибыль предприятий, полученная за счет средств, которые предусматриваются в госбюджете как взнос Украины в Чернобыльский фонд «Укрытие» для реализации международной программы – Плана осуществления мероприятий на объекте «Укрытие»;</w:t>
            </w:r>
          </w:p>
          <w:p w:rsidR="00CB4E7C" w:rsidRPr="00CB4E7C" w:rsidRDefault="00CB4E7C" w:rsidP="00CB4E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временно, до 1 января 2025 года, освобождается от налогообложения прибыль предприятий – субъектов самолетостроения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142 НК,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41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4 разд. ХХ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 на прибыль ((положительное значение) = (строка 04 - строка 05ПЗ) х 18 % / 100, то есть полученная прибыль умножается на ставку налога на прибыль (18 %)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136.1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Коды строк 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Заполняют предприятия, осуществляющие виды деятельности, указанные в этих строках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141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16ЗП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Уменьшение начисленной суммы налога. Вносится показатель,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рассчитанный в приложении к Декларации ЗП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налога уменьшается на:</w:t>
            </w:r>
          </w:p>
          <w:p w:rsidR="00CB4E7C" w:rsidRPr="00CB4E7C" w:rsidRDefault="00CB4E7C" w:rsidP="00CB4E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сумму налога на прибыль, полученную из иностранных источников, который уплачен субъектами хозяйствования за границей (стр. 16.1 приложения ЗП);</w:t>
            </w:r>
          </w:p>
          <w:p w:rsidR="00CB4E7C" w:rsidRPr="00CB4E7C" w:rsidRDefault="00CB4E7C" w:rsidP="00CB4E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сумму начисленного и уплаченного авансового взноса в связи с выплатой дивидендов (стр. 16.4.1 приложения ЗП);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Если сумма начисленного обязательства по налогу на прибыль меньше суммы авансового взноса или по результатам деятельности предприятие за отчетный период получило убытки,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сумма превышения авансового взноса переносится </w:t>
            </w: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 уменьшение налоговых обязательств по налогу на прибыль после получения обществом в следующих налоговых периодах прибыли до полного погашения (абзац пятый пп. 57.1</w:t>
            </w: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.2 НК).</w:t>
            </w:r>
          </w:p>
          <w:p w:rsidR="00CB4E7C" w:rsidRPr="00CB4E7C" w:rsidRDefault="00CB4E7C" w:rsidP="00CB4E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сумму уплаченного за текущий налоговый (отчетный) период акцизного налога по зарегистрированным акцизным накладным на тяжелые дистилляты (газойль), которые классифицируются в товарных подкатегориях 2710 19 43 00, 2710 19 46 00, 2710 19 47 10 согласно УКТ ВЭД, если они были использованы для транспортных средств, которые классифицируются в товарных подкатегориях 8602 10 00 00, 8704 10 10 10 УКТ ВЭД согласно п. 15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4 разд. ХХ НК (стр. 16.5 приложения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ЗП)*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Если плательщик налога на прибыль в отчетном периоде не получил прибыль или сумма налога на прибыль меньше суммы акцизного налога, остаток суммы такого налога, не учтенный в уменьшение налога на прибыль за текущий налоговый (отчетный) период, </w:t>
            </w:r>
            <w:r w:rsidRPr="00CB4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не уменьшает налог на прибыль в следующих налоговых (отчетных) периодах.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П. 15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4 разд. ХХ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*О праве уменьшения суммы налога на прибыль потребителями топлива. Право уменьшать сумму налога на прибыль (наличие условий обретения права применения нормы п. 15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 4 разд. ХХ НК.) имеют потребители горючего при выполнении следующих условий:</w:t>
            </w:r>
          </w:p>
          <w:p w:rsidR="00CB4E7C" w:rsidRPr="00CB4E7C" w:rsidRDefault="00CB4E7C" w:rsidP="00CB4E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Уплата поставщику стоимости подакцизного товара, в цену которого включена сумма акцизного налога, и получение от поставщика зарегистрированной акцизной накладной.</w:t>
            </w:r>
          </w:p>
          <w:p w:rsidR="00CB4E7C" w:rsidRPr="00CB4E7C" w:rsidRDefault="00CB4E7C" w:rsidP="00CB4E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Использование полученного горючего для транспортных средств, которые классифицируются в товарных подкатегориях 8602 10 00 00, 8704 10 10 10 согласно УКТ ВЭД.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Пункт 15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4 разд. ХХ НК никоим образом не ограничивает право использования этого пункта исключительно субъектами хозяйствования, которые являются плательщиками акцизного налога по реализации горючего, поскольку акцизный налог есть косвенным налогом, и поэтому его фактическими плательщиками являются потребители горючего, которые уплачивают налог в составе цены на горючее. 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 есть действие п. 15 распространяется не только на плательщиков акцизного налога по реализации горючего (поставщиков), которые в текущем отчетном периоде осуществили уплату акцизного налога в бюджет и которые могут на указанные суммы уплаченного налога уменьшить налог на прибыль, подлежащий уплате в госбюджет за соответствующий налоговый (отчетный) период, а также и на потребителей горючего при выполнении двух вышеизложенных условий.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Решение Полтавского окружного административного суда </w:t>
            </w:r>
            <w:hyperlink r:id="rId12" w:tgtFrame="_blank" w:history="1">
              <w:r w:rsidRPr="00CB4E7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от 17.04.19 г. по делу № 440/968/19</w:t>
              </w:r>
            </w:hyperlink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Постановлением Второго апелляционного административного суда </w:t>
            </w:r>
            <w:hyperlink r:id="rId13" w:tgtFrame="_blank" w:history="1">
              <w:r w:rsidRPr="00CB4E7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от 23.07.19 г. по делу № 440/968/19</w:t>
              </w:r>
            </w:hyperlink>
            <w:r w:rsidRPr="00CB4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решение Полтавского окружного административного суда оставлено без изменений, а постановлением ВСУ в составе коллегии судей Кассационного административного суда от 29.08.19 г. отказано в открытии кассационного производства по кассационной жалобе ГФС.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 на прибыль за отчетный период (стр. 06 + стр. 08 + стр. 10 + стр. 12 + стр. 15 – стр. 16 ЗП) (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положительное 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 на прибыль по результатам предыдущего отчетного (налогового) периода текущего года с учетом уточнений (стр. 17 Декларации за предыдущий отчетный (налоговый) период текущего года) Заполняется плательщиками, которые представляют отчетность поквартально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 на прибыль, начисленную по результатам последнего (отчетного) налогового периода (стр. 17 – стр. 18) (+, 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20АВ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 авансового взноса при выплате дивидендов, которая должна быть уплачена в отчетном (налоговому) периоде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Заполняется приложение АВ «Расчет авансового взноса по налогу на прибыль предприятий на сумму выплаченных дивидендов (приравненных к ним платежей)».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Авансовый взнос отражается в Декларации стр. 20АВ = стр. 6 приложения АВ = стр. 16.2 приложения ЗП.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Авансовый взнос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CB4E7C" w:rsidRPr="00CB4E7C" w:rsidRDefault="00CB4E7C" w:rsidP="00CB4E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рассчитывается из суммы превышения дивидендов, которые подлежат выплате, над значением объекта налогообложения за соответствующий налоговый (отчетный) год, по результатам которого выплачиваются дивиденды;</w:t>
            </w:r>
          </w:p>
          <w:p w:rsidR="00CB4E7C" w:rsidRPr="00CB4E7C" w:rsidRDefault="00CB4E7C" w:rsidP="00CB4E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рассчитывается из всей суммы дивидендов при условии, что денежное обязательство по налогу на прибыль не уплачено (абзац второй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 НК);</w:t>
            </w:r>
          </w:p>
          <w:p w:rsidR="00CB4E7C" w:rsidRPr="00CB4E7C" w:rsidRDefault="00CB4E7C" w:rsidP="00CB4E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вносится в бюджет до/или одновременно с выплатой дивидендов (абзац третий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 НК).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сумма начисленного обязательства по налогу на прибыль меньше суммы авансового взноса или по результатам деятельности предприятие за отчетный период получило убытки (отрицательное значение объекта налогообложения), сумма превышения авансового взноса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переносится в уменьшение налоговых обязательств по налогу на прибыль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 получении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предприятием в следующих налоговых периодах прибыли до полного погашения (абзац пятый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 НК).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Авансовый взнос не взимается</w:t>
            </w:r>
          </w:p>
          <w:p w:rsidR="00CB4E7C" w:rsidRPr="00CB4E7C" w:rsidRDefault="00CB4E7C" w:rsidP="00CB4E7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пользу владельцев корпоративных прав материнской компании, которые уплачиваются в пределах сумм доходов такой компании, полученных в виде дивидендов от других лиц (абзац второй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НК);</w:t>
            </w:r>
          </w:p>
          <w:p w:rsidR="00CB4E7C" w:rsidRPr="00CB4E7C" w:rsidRDefault="00CB4E7C" w:rsidP="00CB4E7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плательщиком налога на прибыль, прибыль которого освобождена от налогообложения (абзац третий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ПК);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Это правило не касается </w:t>
            </w:r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плательщиков налога, которые до 31.12.21 г. применяют ставку 0 % и которые осуществляют начисление и выплату дивидендов. Такие плательщики обязаны начислять и уплачивать авансовый взнос и платить налог на прибыль по ставке 18 % за период, в котором осуществлялось начисление и выплата дивидендов (п. 44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 4 разд. ХХ НК).</w:t>
            </w:r>
          </w:p>
          <w:p w:rsidR="00CB4E7C" w:rsidRPr="00CB4E7C" w:rsidRDefault="00CB4E7C" w:rsidP="00CB4E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институты общего инвестирования (пп.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.6 НК);</w:t>
            </w:r>
          </w:p>
          <w:p w:rsidR="00CB4E7C" w:rsidRPr="00CB4E7C" w:rsidRDefault="00CB4E7C" w:rsidP="00CB4E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случае выплаты дивидендов плательщиками единого налога (юрлица 3-й и 4-й групп) физическому лицу (абзац четвертый пп.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НК);</w:t>
            </w:r>
          </w:p>
          <w:p w:rsidR="00CB4E7C" w:rsidRPr="00CB4E7C" w:rsidRDefault="00CB4E7C" w:rsidP="00CB4E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случае выплаты дивидендов плательщиками единого налога (юрлица 3-й 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и 4-й групп) учредителю –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юрлицу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-резиденту.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57.1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НК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44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подразд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4 разд. ХХ НК,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письмо ГФС </w:t>
            </w:r>
            <w:hyperlink r:id="rId14" w:tgtFrame="_blank" w:history="1">
              <w:r w:rsidRPr="00CB4E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от 26.03.18 г. № 8773/7/99-99-15-02-02-17</w:t>
              </w:r>
            </w:hyperlink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авансового взноса в случае выплаты дивидендов, которая должна быть уплачена по результатам предыдущего отчетного (налогового) периода текущего года, с учетом уточнений (стр. 20 АВ Декларации за предыдущий отчетный (налоговый) период текущего года). Заполняется плательщиками, представляющими отчетность поквартально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авансового взноса при выплате дивидендов, начисленная по результатам последнего (отчетного) налогового периода (стр. 20 АВ – стр. 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23ПН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налогов, которые удерживаются при выплате доходов (прибылей) нерезидентам, начисленных за отчетный период.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Расчет налога производится в </w:t>
            </w:r>
            <w:proofErr w:type="spell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приложениее</w:t>
            </w:r>
            <w:proofErr w:type="spell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ПН.</w:t>
            </w:r>
          </w:p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Согласно </w:t>
            </w:r>
            <w:proofErr w:type="gramStart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примечанию</w:t>
            </w:r>
            <w:proofErr w:type="gramEnd"/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приложению ПН [3] приложение заполняется отдельно по каждому нерезиденту, которому выплачиваются доход, поэтому сумма уплаченного нерезиденту дохода отражается в стр. 23 Декларации из стр. 28 гр. 6 приложения ПН с итогом приложений ПН по каждому нерезиденту.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103, п. 141.4 НК</w:t>
            </w: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налогов, которые удерживаются при выплате доходов (прибылей) нерезидентам по результатам предыдущего отчетного (налогового) периода текущего года, с учетом уточнений (стр. 23 ПН Декларации за предыдущий отчетный (налоговый) период текущего года). Заполняется плательщиками, представляющими отчетность поквартально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4E7C" w:rsidRPr="00CB4E7C" w:rsidTr="00CB4E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строки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4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налогов, которые удерживаются при выплате доходов (прибылей) нерезидентам, начисленных по результатам последнего (отчетного) налогового периода (стр. 23 ПН – стр. 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E7C" w:rsidRPr="00CB4E7C" w:rsidRDefault="00CB4E7C" w:rsidP="00CB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20E5"/>
    <w:multiLevelType w:val="multilevel"/>
    <w:tmpl w:val="7378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0CAE"/>
    <w:multiLevelType w:val="multilevel"/>
    <w:tmpl w:val="3B92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262"/>
    <w:multiLevelType w:val="multilevel"/>
    <w:tmpl w:val="BF0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6423"/>
    <w:multiLevelType w:val="multilevel"/>
    <w:tmpl w:val="A602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C4358"/>
    <w:multiLevelType w:val="multilevel"/>
    <w:tmpl w:val="78D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15E53"/>
    <w:multiLevelType w:val="multilevel"/>
    <w:tmpl w:val="BA6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78B9"/>
    <w:multiLevelType w:val="multilevel"/>
    <w:tmpl w:val="59D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D429C"/>
    <w:multiLevelType w:val="multilevel"/>
    <w:tmpl w:val="1FBA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84B5B"/>
    <w:multiLevelType w:val="multilevel"/>
    <w:tmpl w:val="6DA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87430"/>
    <w:multiLevelType w:val="multilevel"/>
    <w:tmpl w:val="2E9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E4A62"/>
    <w:multiLevelType w:val="multilevel"/>
    <w:tmpl w:val="A8F6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85F21"/>
    <w:multiLevelType w:val="multilevel"/>
    <w:tmpl w:val="8A2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203A2"/>
    <w:multiLevelType w:val="multilevel"/>
    <w:tmpl w:val="251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94881"/>
    <w:multiLevelType w:val="multilevel"/>
    <w:tmpl w:val="93E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4521A"/>
    <w:multiLevelType w:val="multilevel"/>
    <w:tmpl w:val="E12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11AFD"/>
    <w:multiLevelType w:val="multilevel"/>
    <w:tmpl w:val="1D2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90DBB"/>
    <w:multiLevelType w:val="multilevel"/>
    <w:tmpl w:val="BD4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04DDC"/>
    <w:multiLevelType w:val="multilevel"/>
    <w:tmpl w:val="7C54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E4821"/>
    <w:multiLevelType w:val="multilevel"/>
    <w:tmpl w:val="BCF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51779"/>
    <w:multiLevelType w:val="multilevel"/>
    <w:tmpl w:val="63AE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F0392"/>
    <w:multiLevelType w:val="multilevel"/>
    <w:tmpl w:val="3E2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7"/>
  </w:num>
  <w:num w:numId="15">
    <w:abstractNumId w:val="17"/>
  </w:num>
  <w:num w:numId="16">
    <w:abstractNumId w:val="16"/>
  </w:num>
  <w:num w:numId="17">
    <w:abstractNumId w:val="0"/>
  </w:num>
  <w:num w:numId="18">
    <w:abstractNumId w:val="3"/>
  </w:num>
  <w:num w:numId="19">
    <w:abstractNumId w:val="9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7C"/>
    <w:rsid w:val="00276DFF"/>
    <w:rsid w:val="00CB4E7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AD49-498B-4C97-BEC7-EAF7D95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CB4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B4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B4E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E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4E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B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B4E7C"/>
    <w:rPr>
      <w:color w:val="0000FF"/>
      <w:u w:val="single"/>
    </w:rPr>
  </w:style>
  <w:style w:type="character" w:styleId="a5">
    <w:name w:val="Strong"/>
    <w:basedOn w:val="a0"/>
    <w:uiPriority w:val="22"/>
    <w:qFormat/>
    <w:rsid w:val="00CB4E7C"/>
    <w:rPr>
      <w:b/>
      <w:bCs/>
    </w:rPr>
  </w:style>
  <w:style w:type="character" w:styleId="a6">
    <w:name w:val="Emphasis"/>
    <w:basedOn w:val="a0"/>
    <w:uiPriority w:val="20"/>
    <w:qFormat/>
    <w:rsid w:val="00CB4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yestr.court.gov.ua/Review/75906900" TargetMode="External"/><Relationship Id="rId13" Type="http://schemas.openxmlformats.org/officeDocument/2006/relationships/hyperlink" Target="http://reyestr.court.gov.ua/Review/83322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.sfs.gov.ua/media-ark/news-ark/329649.html" TargetMode="External"/><Relationship Id="rId12" Type="http://schemas.openxmlformats.org/officeDocument/2006/relationships/hyperlink" Target="http://reyestr.court.gov.ua/Review/815323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v.sfs.gov.ua/media-ark/news-ark/print-292281.html" TargetMode="External"/><Relationship Id="rId11" Type="http://schemas.openxmlformats.org/officeDocument/2006/relationships/hyperlink" Target="http://kyiv.sfs.gov.ua/okremi-storinki/arhiv1/269973.html" TargetMode="External"/><Relationship Id="rId5" Type="http://schemas.openxmlformats.org/officeDocument/2006/relationships/hyperlink" Target="http://sfs.gov.ua/podatki-ta-zbori/zagalnoderjavni-podatki/podatok-na-pributok-pidpri/listi-dps/368207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teka.ua/publication/news-14-ezhednevnyj-buxgalterskij-obzor-39-kak-opredelyat-godovoj-doxod-ot-lyuboj-deyatelnosti-ustanovlennyj-po-pravilam-buxuch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iv.sfs.gov.ua/okremi-storinki/arhiv1/print-245087.html" TargetMode="External"/><Relationship Id="rId14" Type="http://schemas.openxmlformats.org/officeDocument/2006/relationships/hyperlink" Target="https://uteka.ua/publication/news-14-ezhednevnyj-buxgalterskij-obzor-39-nachislenie-i-uplata-avansovogo-vznosa-pri-vyplate-dividen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3588</Words>
  <Characters>20454</Characters>
  <Application>Microsoft Office Word</Application>
  <DocSecurity>0</DocSecurity>
  <Lines>170</Lines>
  <Paragraphs>47</Paragraphs>
  <ScaleCrop>false</ScaleCrop>
  <Company/>
  <LinksUpToDate>false</LinksUpToDate>
  <CharactersWithSpaces>23995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2019-10-24T07:13:00Z</dcterms:created>
  <dcterms:modified xsi:type="dcterms:W3CDTF">2019-10-24T07:13:00Z</dcterms:modified>
</cp:coreProperties>
</file>