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77" w:rsidRDefault="009E5377" w:rsidP="009E5377">
      <w:pPr>
        <w:pStyle w:val="Textcol"/>
        <w:jc w:val="center"/>
      </w:pPr>
      <w:r>
        <w:t>ФХ «Зернышко»</w:t>
      </w:r>
    </w:p>
    <w:p w:rsidR="009E5377" w:rsidRDefault="009E5377" w:rsidP="009E5377">
      <w:pPr>
        <w:pStyle w:val="TextMP"/>
        <w:spacing w:before="113"/>
        <w:jc w:val="center"/>
        <w:rPr>
          <w:rFonts w:ascii="FreeSetC-Bold" w:hAnsi="FreeSetC-Bold" w:cs="FreeSetC-Bold"/>
          <w:b/>
          <w:bCs/>
          <w:lang w:val="ru-RU"/>
        </w:rPr>
      </w:pPr>
      <w:r>
        <w:rPr>
          <w:lang w:val="ru-RU"/>
        </w:rPr>
        <w:t>код ЕГРПОУ 12345678</w:t>
      </w:r>
    </w:p>
    <w:p w:rsidR="009E5377" w:rsidRDefault="009E5377" w:rsidP="009E5377">
      <w:pPr>
        <w:pStyle w:val="TextMP"/>
        <w:spacing w:before="57"/>
        <w:jc w:val="right"/>
        <w:rPr>
          <w:lang w:val="ru-RU"/>
        </w:rPr>
      </w:pPr>
      <w:r>
        <w:rPr>
          <w:lang w:val="ru-RU"/>
        </w:rPr>
        <w:t xml:space="preserve"> 29.09.19 г.</w:t>
      </w:r>
      <w:r>
        <w:rPr>
          <w:lang w:val="ru-RU"/>
        </w:rPr>
        <w:tab/>
      </w:r>
      <w:proofErr w:type="spellStart"/>
      <w:r>
        <w:rPr>
          <w:lang w:val="ru-RU"/>
        </w:rPr>
        <w:t>смт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Вишневое</w:t>
      </w:r>
      <w:proofErr w:type="gramEnd"/>
      <w:r>
        <w:rPr>
          <w:lang w:val="ru-RU"/>
        </w:rPr>
        <w:t xml:space="preserve"> </w:t>
      </w:r>
    </w:p>
    <w:p w:rsidR="009E5377" w:rsidRPr="009E5377" w:rsidRDefault="009E5377" w:rsidP="009E5377">
      <w:pPr>
        <w:pStyle w:val="SentrMP"/>
        <w:spacing w:before="0"/>
        <w:jc w:val="center"/>
        <w:rPr>
          <w:rFonts w:ascii="FranklinGothic-Demi" w:hAnsi="FranklinGothic-Demi" w:cs="FranklinGothic-Demi"/>
          <w:b/>
          <w:i w:val="0"/>
          <w:iCs w:val="0"/>
          <w:lang w:val="ru-RU"/>
        </w:rPr>
      </w:pPr>
      <w:r w:rsidRPr="009E5377">
        <w:rPr>
          <w:rFonts w:ascii="FranklinGothic-Demi" w:hAnsi="FranklinGothic-Demi" w:cs="FranklinGothic-Demi"/>
          <w:b/>
          <w:i w:val="0"/>
          <w:iCs w:val="0"/>
          <w:lang w:val="ru-RU"/>
        </w:rPr>
        <w:t>Бухгалтерская справка № 15</w:t>
      </w:r>
    </w:p>
    <w:p w:rsidR="009E5377" w:rsidRDefault="009E5377" w:rsidP="009E5377">
      <w:pPr>
        <w:pStyle w:val="TextMP"/>
        <w:spacing w:before="113"/>
        <w:rPr>
          <w:lang w:val="ru-RU"/>
        </w:rPr>
      </w:pPr>
      <w:r>
        <w:rPr>
          <w:lang w:val="ru-RU"/>
        </w:rPr>
        <w:t>01.09.16 г. согласно договору поставки от 29.08.16 г. № 35 была перечислена предоплата за минеральные удобрения на общую сумму 30 000 грн (в т. ч. НДС – 5 000 грн). Поставщик на дату получения оплаты (01.09.16 г.) выдал налоговую накладную № 12.</w:t>
      </w:r>
    </w:p>
    <w:p w:rsidR="009E5377" w:rsidRDefault="009E5377" w:rsidP="009E5377">
      <w:pPr>
        <w:pStyle w:val="TextMP"/>
        <w:spacing w:before="113"/>
        <w:rPr>
          <w:lang w:val="ru-RU"/>
        </w:rPr>
      </w:pPr>
      <w:r>
        <w:rPr>
          <w:lang w:val="ru-RU"/>
        </w:rPr>
        <w:t>30.09.19 г. истек срок исковой давности по договору от 29.08.16 г. № 35. Задолженность подлежит списанию, а сумма налогового кредита по налоговой накладной № 12 – корректировке.</w:t>
      </w:r>
    </w:p>
    <w:p w:rsidR="009E5377" w:rsidRDefault="009E5377" w:rsidP="009E5377">
      <w:pPr>
        <w:pStyle w:val="TextMP"/>
        <w:spacing w:before="113"/>
        <w:jc w:val="right"/>
        <w:rPr>
          <w:lang w:val="ru-RU"/>
        </w:rPr>
      </w:pPr>
      <w:r>
        <w:rPr>
          <w:rFonts w:ascii="FreeSetC-Bold" w:hAnsi="FreeSetC-Bold" w:cs="FreeSetC-Bold"/>
          <w:b/>
          <w:bCs/>
          <w:lang w:val="ru-RU"/>
        </w:rPr>
        <w:t>(грн)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7"/>
        <w:gridCol w:w="6850"/>
        <w:gridCol w:w="514"/>
        <w:gridCol w:w="505"/>
        <w:gridCol w:w="1272"/>
      </w:tblGrid>
      <w:tr w:rsidR="009E5377" w:rsidTr="002F0EA4">
        <w:trPr>
          <w:trHeight w:val="20"/>
        </w:trPr>
        <w:tc>
          <w:tcPr>
            <w:tcW w:w="407" w:type="dxa"/>
            <w:vMerge w:val="restart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5377" w:rsidRDefault="009E5377" w:rsidP="002F0EA4">
            <w:pPr>
              <w:pStyle w:val="Tabltext9ptco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9E5377" w:rsidRDefault="009E5377" w:rsidP="002F0EA4">
            <w:pPr>
              <w:pStyle w:val="Tabltext9ptcol"/>
              <w:jc w:val="center"/>
            </w:pPr>
          </w:p>
        </w:tc>
        <w:tc>
          <w:tcPr>
            <w:tcW w:w="6850" w:type="dxa"/>
            <w:vMerge w:val="restart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5377" w:rsidRDefault="009E5377" w:rsidP="002F0EA4">
            <w:pPr>
              <w:pStyle w:val="Tabltext9ptcol"/>
              <w:jc w:val="center"/>
            </w:pPr>
            <w:r>
              <w:t>Содержание операции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  <w:tc>
          <w:tcPr>
            <w:tcW w:w="2291" w:type="dxa"/>
            <w:gridSpan w:val="3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5377" w:rsidRDefault="009E5377" w:rsidP="002F0EA4">
            <w:pPr>
              <w:pStyle w:val="Tabltext9ptcol"/>
              <w:jc w:val="center"/>
            </w:pPr>
            <w:r>
              <w:t>Бухгалтерский учет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</w:tr>
      <w:tr w:rsidR="009E5377" w:rsidTr="002F0EA4">
        <w:trPr>
          <w:trHeight w:val="246"/>
        </w:trPr>
        <w:tc>
          <w:tcPr>
            <w:tcW w:w="407" w:type="dxa"/>
            <w:vMerge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</w:tcPr>
          <w:p w:rsidR="009E5377" w:rsidRDefault="009E5377" w:rsidP="002F0EA4">
            <w:pPr>
              <w:pStyle w:val="a3"/>
              <w:spacing w:line="240" w:lineRule="auto"/>
              <w:textAlignment w:val="auto"/>
              <w:rPr>
                <w:rFonts w:ascii="FreeSetC-BoldItalic" w:hAnsi="FreeSetC-BoldItalic" w:cstheme="minorBidi"/>
                <w:color w:val="auto"/>
                <w:lang w:val="ru-RU"/>
              </w:rPr>
            </w:pPr>
          </w:p>
        </w:tc>
        <w:tc>
          <w:tcPr>
            <w:tcW w:w="6850" w:type="dxa"/>
            <w:vMerge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</w:tcPr>
          <w:p w:rsidR="009E5377" w:rsidRDefault="009E5377" w:rsidP="002F0EA4">
            <w:pPr>
              <w:pStyle w:val="a3"/>
              <w:spacing w:line="240" w:lineRule="auto"/>
              <w:textAlignment w:val="auto"/>
              <w:rPr>
                <w:rFonts w:ascii="FreeSetC-BoldItalic" w:hAnsi="FreeSetC-BoldItalic" w:cstheme="minorBidi"/>
                <w:color w:val="auto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  <w:jc w:val="center"/>
            </w:pPr>
            <w:r>
              <w:t>Дт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  <w:tc>
          <w:tcPr>
            <w:tcW w:w="50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  <w:jc w:val="center"/>
            </w:pPr>
            <w:r>
              <w:t>Кт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  <w:tc>
          <w:tcPr>
            <w:tcW w:w="127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  <w:jc w:val="center"/>
            </w:pPr>
            <w:r>
              <w:t>Сумма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</w:tr>
      <w:tr w:rsidR="009E5377" w:rsidTr="002F0EA4">
        <w:trPr>
          <w:trHeight w:val="260"/>
        </w:trPr>
        <w:tc>
          <w:tcPr>
            <w:tcW w:w="40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shd w:val="solid" w:color="35E8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  <w:jc w:val="center"/>
              <w:rPr>
                <w:rFonts w:ascii="FreeSetC-Bold" w:hAnsi="FreeSetC-Bold" w:cs="FreeSetC-Bold"/>
                <w:b/>
                <w:bCs/>
              </w:rPr>
            </w:pPr>
            <w:r>
              <w:rPr>
                <w:rFonts w:ascii="FreeSetC-Bold" w:hAnsi="FreeSetC-Bold" w:cs="FreeSetC-Bold"/>
                <w:b/>
                <w:bCs/>
              </w:rPr>
              <w:t>1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  <w:tc>
          <w:tcPr>
            <w:tcW w:w="6850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shd w:val="solid" w:color="35E8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  <w:jc w:val="center"/>
              <w:rPr>
                <w:rFonts w:ascii="FreeSetC-Bold" w:hAnsi="FreeSetC-Bold" w:cs="FreeSetC-Bold"/>
                <w:b/>
                <w:bCs/>
              </w:rPr>
            </w:pPr>
            <w:r>
              <w:rPr>
                <w:rFonts w:ascii="FreeSetC-Bold" w:hAnsi="FreeSetC-Bold" w:cs="FreeSetC-Bold"/>
                <w:b/>
                <w:bCs/>
              </w:rPr>
              <w:t>2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  <w:tc>
          <w:tcPr>
            <w:tcW w:w="51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shd w:val="solid" w:color="35E8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  <w:jc w:val="center"/>
              <w:rPr>
                <w:rFonts w:ascii="FreeSetC-Bold" w:hAnsi="FreeSetC-Bold" w:cs="FreeSetC-Bold"/>
                <w:b/>
                <w:bCs/>
              </w:rPr>
            </w:pPr>
            <w:r>
              <w:rPr>
                <w:rFonts w:ascii="FreeSetC-Bold" w:hAnsi="FreeSetC-Bold" w:cs="FreeSetC-Bold"/>
                <w:b/>
                <w:bCs/>
              </w:rPr>
              <w:t>3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  <w:tc>
          <w:tcPr>
            <w:tcW w:w="50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shd w:val="solid" w:color="35E8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  <w:jc w:val="center"/>
              <w:rPr>
                <w:rFonts w:ascii="FreeSetC-Bold" w:hAnsi="FreeSetC-Bold" w:cs="FreeSetC-Bold"/>
                <w:b/>
                <w:bCs/>
              </w:rPr>
            </w:pPr>
            <w:r>
              <w:rPr>
                <w:rFonts w:ascii="FreeSetC-Bold" w:hAnsi="FreeSetC-Bold" w:cs="FreeSetC-Bold"/>
                <w:b/>
                <w:bCs/>
              </w:rPr>
              <w:t>4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  <w:tc>
          <w:tcPr>
            <w:tcW w:w="127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shd w:val="solid" w:color="35E8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  <w:jc w:val="center"/>
              <w:rPr>
                <w:rFonts w:ascii="FreeSetC-Bold" w:hAnsi="FreeSetC-Bold" w:cs="FreeSetC-Bold"/>
                <w:b/>
                <w:bCs/>
              </w:rPr>
            </w:pPr>
            <w:r>
              <w:rPr>
                <w:rFonts w:ascii="FreeSetC-Bold" w:hAnsi="FreeSetC-Bold" w:cs="FreeSetC-Bold"/>
                <w:b/>
                <w:bCs/>
              </w:rPr>
              <w:t>5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</w:tr>
      <w:tr w:rsidR="009E5377" w:rsidTr="002F0EA4">
        <w:trPr>
          <w:trHeight w:val="447"/>
        </w:trPr>
        <w:tc>
          <w:tcPr>
            <w:tcW w:w="40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  <w:jc w:val="center"/>
            </w:pPr>
            <w:r>
              <w:t>1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  <w:tc>
          <w:tcPr>
            <w:tcW w:w="6850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</w:pPr>
            <w:r>
              <w:t>Откорректирован методом «</w:t>
            </w:r>
            <w:proofErr w:type="spellStart"/>
            <w:r>
              <w:t>сторно</w:t>
            </w:r>
            <w:proofErr w:type="spellEnd"/>
            <w:r>
              <w:t>» налоговый кредит по НДС по налоговой накладной от 01.09.16 г. № 12</w:t>
            </w:r>
          </w:p>
          <w:p w:rsidR="009E5377" w:rsidRDefault="009E5377" w:rsidP="002F0EA4">
            <w:pPr>
              <w:pStyle w:val="Tabltext9ptcol"/>
            </w:pPr>
          </w:p>
        </w:tc>
        <w:tc>
          <w:tcPr>
            <w:tcW w:w="51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shd w:val="solid" w:color="35E8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  <w:jc w:val="center"/>
            </w:pPr>
            <w:r>
              <w:t>641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  <w:tc>
          <w:tcPr>
            <w:tcW w:w="50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shd w:val="solid" w:color="35E8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  <w:jc w:val="center"/>
            </w:pPr>
            <w:r>
              <w:t>644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  <w:tc>
          <w:tcPr>
            <w:tcW w:w="127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shd w:val="solid" w:color="35E8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  <w:jc w:val="center"/>
            </w:pPr>
            <w:r>
              <w:t>5 000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</w:tr>
      <w:tr w:rsidR="009E5377" w:rsidTr="002F0EA4">
        <w:trPr>
          <w:trHeight w:val="238"/>
        </w:trPr>
        <w:tc>
          <w:tcPr>
            <w:tcW w:w="40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  <w:jc w:val="center"/>
            </w:pPr>
            <w:r>
              <w:t>2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  <w:tc>
          <w:tcPr>
            <w:tcW w:w="6850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</w:pPr>
            <w:r>
              <w:t>Списана безнадежная задолженность</w:t>
            </w:r>
          </w:p>
          <w:p w:rsidR="009E5377" w:rsidRDefault="009E5377" w:rsidP="002F0EA4">
            <w:pPr>
              <w:pStyle w:val="Tabltext9ptcol"/>
            </w:pPr>
          </w:p>
        </w:tc>
        <w:tc>
          <w:tcPr>
            <w:tcW w:w="51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  <w:jc w:val="center"/>
            </w:pPr>
            <w:r>
              <w:t>944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  <w:tc>
          <w:tcPr>
            <w:tcW w:w="50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  <w:jc w:val="center"/>
            </w:pPr>
            <w:r>
              <w:t>371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  <w:tc>
          <w:tcPr>
            <w:tcW w:w="127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E5377" w:rsidRDefault="009E5377" w:rsidP="002F0EA4">
            <w:pPr>
              <w:pStyle w:val="Tabltext9ptcol"/>
              <w:jc w:val="center"/>
            </w:pPr>
            <w:r>
              <w:t>30 000</w:t>
            </w:r>
          </w:p>
          <w:p w:rsidR="009E5377" w:rsidRDefault="009E5377" w:rsidP="002F0EA4">
            <w:pPr>
              <w:pStyle w:val="Tabltext9ptcol"/>
              <w:jc w:val="center"/>
            </w:pPr>
          </w:p>
        </w:tc>
      </w:tr>
    </w:tbl>
    <w:p w:rsidR="009E5377" w:rsidRDefault="009E5377" w:rsidP="009E5377">
      <w:pPr>
        <w:pStyle w:val="a3"/>
        <w:suppressAutoHyphens/>
      </w:pPr>
    </w:p>
    <w:p w:rsidR="009E5377" w:rsidRDefault="009E5377" w:rsidP="009E5377">
      <w:pPr>
        <w:pStyle w:val="Textcol"/>
        <w:spacing w:before="170"/>
      </w:pPr>
      <w:r>
        <w:t>Бухгалтер</w:t>
      </w:r>
      <w:r>
        <w:tab/>
      </w:r>
      <w:r>
        <w:tab/>
        <w:t>(подпись)</w:t>
      </w:r>
      <w:r>
        <w:tab/>
        <w:t xml:space="preserve">О. С. </w:t>
      </w:r>
      <w:proofErr w:type="spellStart"/>
      <w:r>
        <w:t>Трухань</w:t>
      </w:r>
      <w:proofErr w:type="spellEnd"/>
    </w:p>
    <w:p w:rsidR="009E5377" w:rsidRDefault="009E5377" w:rsidP="009E5377">
      <w:pPr>
        <w:pStyle w:val="Textcol"/>
        <w:spacing w:before="57"/>
      </w:pPr>
      <w:r>
        <w:t>Главный бухгалтер</w:t>
      </w:r>
      <w:r>
        <w:tab/>
        <w:t>(подпись)</w:t>
      </w:r>
      <w:r>
        <w:tab/>
        <w:t xml:space="preserve">М. В. </w:t>
      </w:r>
      <w:proofErr w:type="spellStart"/>
      <w:r>
        <w:t>Тертичко</w:t>
      </w:r>
      <w:proofErr w:type="spellEnd"/>
    </w:p>
    <w:p w:rsidR="009E5377" w:rsidRDefault="009E5377" w:rsidP="009E5377">
      <w:pPr>
        <w:pStyle w:val="Textcol"/>
        <w:spacing w:before="57"/>
      </w:pPr>
      <w:r>
        <w:t>30.09.19 г.</w:t>
      </w:r>
    </w:p>
    <w:p w:rsidR="005515CC" w:rsidRDefault="005515CC"/>
    <w:sectPr w:rsidR="005515CC" w:rsidSect="00551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Gothic-Demi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eeSe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Gothic-Dem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eeSet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377"/>
    <w:rsid w:val="005515CC"/>
    <w:rsid w:val="009E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77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 ]"/>
    <w:rsid w:val="009E537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extcol">
    <w:name w:val="Text_col"/>
    <w:basedOn w:val="a3"/>
    <w:uiPriority w:val="99"/>
    <w:rsid w:val="009E5377"/>
    <w:pPr>
      <w:spacing w:before="227" w:line="278" w:lineRule="auto"/>
      <w:jc w:val="both"/>
    </w:pPr>
    <w:rPr>
      <w:rFonts w:ascii="FreeSetC" w:hAnsi="FreeSetC" w:cs="FreeSetC"/>
      <w:sz w:val="19"/>
      <w:szCs w:val="19"/>
      <w:lang w:val="ru-RU"/>
    </w:rPr>
  </w:style>
  <w:style w:type="paragraph" w:customStyle="1" w:styleId="Tabltext9ptcol">
    <w:name w:val="Tabl_text_9pt_col"/>
    <w:basedOn w:val="a3"/>
    <w:uiPriority w:val="99"/>
    <w:rsid w:val="009E5377"/>
    <w:pPr>
      <w:spacing w:before="28" w:line="278" w:lineRule="auto"/>
      <w:jc w:val="both"/>
    </w:pPr>
    <w:rPr>
      <w:rFonts w:ascii="FreeSetC" w:hAnsi="FreeSetC" w:cs="FreeSetC"/>
      <w:sz w:val="18"/>
      <w:szCs w:val="18"/>
      <w:lang w:val="ru-RU"/>
    </w:rPr>
  </w:style>
  <w:style w:type="paragraph" w:customStyle="1" w:styleId="TextMP">
    <w:name w:val="Text_MP"/>
    <w:basedOn w:val="a3"/>
    <w:uiPriority w:val="99"/>
    <w:rsid w:val="009E5377"/>
    <w:pPr>
      <w:spacing w:before="227" w:line="283" w:lineRule="auto"/>
      <w:jc w:val="both"/>
    </w:pPr>
    <w:rPr>
      <w:rFonts w:ascii="FreeSetC" w:hAnsi="FreeSetC" w:cs="FreeSetC"/>
      <w:sz w:val="19"/>
      <w:szCs w:val="19"/>
      <w:lang w:val="uk-UA"/>
    </w:rPr>
  </w:style>
  <w:style w:type="paragraph" w:customStyle="1" w:styleId="SentrMP">
    <w:name w:val="Sentr_MP"/>
    <w:basedOn w:val="a3"/>
    <w:uiPriority w:val="99"/>
    <w:rsid w:val="009E5377"/>
    <w:pPr>
      <w:suppressAutoHyphens/>
      <w:spacing w:before="227" w:line="278" w:lineRule="auto"/>
    </w:pPr>
    <w:rPr>
      <w:rFonts w:ascii="FranklinGothic-DemiItalic" w:hAnsi="FranklinGothic-DemiItalic" w:cs="FranklinGothic-DemiItalic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2019-09-09T18:43:00Z</dcterms:created>
  <dcterms:modified xsi:type="dcterms:W3CDTF">2019-09-09T18:43:00Z</dcterms:modified>
</cp:coreProperties>
</file>