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360BF0" w:rsidRPr="00360BF0" w:rsidTr="00360BF0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0" w:line="360" w:lineRule="atLeast"/>
              <w:ind w:firstLine="255"/>
              <w:jc w:val="righ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ЗАТВЕРДЖЕНО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аграрної</w:t>
            </w:r>
            <w:proofErr w:type="spellEnd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 </w:t>
            </w:r>
            <w:proofErr w:type="gram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лютого</w:t>
            </w:r>
            <w:proofErr w:type="gramEnd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року № 67</w:t>
            </w:r>
          </w:p>
        </w:tc>
      </w:tr>
    </w:tbl>
    <w:p w:rsidR="00360BF0" w:rsidRPr="00360BF0" w:rsidRDefault="00360BF0" w:rsidP="00360BF0">
      <w:pPr>
        <w:spacing w:after="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n21"/>
      <w:bookmarkEnd w:id="0"/>
      <w:r w:rsidRPr="00360BF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ТЕХНІЧНИЙ ОПИС </w:t>
      </w:r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60BF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державного логотипа </w:t>
      </w:r>
      <w:proofErr w:type="gramStart"/>
      <w:r w:rsidRPr="00360BF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для</w:t>
      </w:r>
      <w:proofErr w:type="gramEnd"/>
      <w:r w:rsidRPr="00360BF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органічної</w:t>
      </w:r>
      <w:proofErr w:type="spellEnd"/>
      <w:r w:rsidRPr="00360BF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продукції</w:t>
      </w:r>
      <w:proofErr w:type="spellEnd"/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n22"/>
      <w:bookmarkEnd w:id="1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логотип для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органічної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продукції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логотип)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складається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графічного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зображення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поміщені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квадрат.</w:t>
      </w:r>
    </w:p>
    <w:p w:rsid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bookmarkStart w:id="2" w:name="n23"/>
      <w:bookmarkEnd w:id="2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Графічне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зображення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складається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двох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кругів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однакового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перетинаються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находять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 на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таким чином,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права точка </w:t>
      </w:r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івого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віддалена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точки правого круга на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відстань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становить 10/11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кругів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розташовані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одній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уявній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горизонтальній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прямій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лінії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Площина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яка в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часткового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накладання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кругів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 на одного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є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спільною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обох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кругів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спільна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площина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має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зелений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колі</w:t>
      </w:r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утворює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фігуру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вигляді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листка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рослини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розташованого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лівого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боку, яка не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належить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спільної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площини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має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жовтий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колі</w:t>
      </w:r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розташованого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правого боку, яка не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належить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спільної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площини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,-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блакитний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867400" cy="2809875"/>
            <wp:effectExtent l="19050" t="0" r="0" b="0"/>
            <wp:docPr id="1" name="Рисунок 1" descr="C:\Users\Admin\Desktop\Без названия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 названия (2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" w:name="n24"/>
      <w:bookmarkStart w:id="4" w:name="n25"/>
      <w:bookmarkEnd w:id="3"/>
      <w:bookmarkEnd w:id="4"/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Спільна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площина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містить</w:t>
      </w:r>
      <w:proofErr w:type="spellEnd"/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вертикальну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лінію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кольору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яка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розташована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центру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зазначеної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площини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не доходить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точок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яких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перетинаються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круги, на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відстань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становить 1/4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круга.</w:t>
      </w:r>
    </w:p>
    <w:p w:rsidR="00360BF0" w:rsidRPr="00360BF0" w:rsidRDefault="00360BF0" w:rsidP="00360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кольору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кутом 45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градусів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обидва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боки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симетрично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відходять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три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імітують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прожилки листка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рослини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імітують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прожилки листка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рослини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довжину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становить 1/4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круга.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імітують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прожилки листка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рослини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довжину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становить 1/3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круга.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5" w:name="n26"/>
      <w:bookmarkEnd w:id="5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Кола,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обрамляють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круги,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виконуються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лінією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кольору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товщина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становить 1/12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6" w:name="n27"/>
      <w:bookmarkEnd w:id="6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3.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розміщується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графічним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зображенням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державного логотипа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складається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слів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«ОРГАНІЧНИЙ ПРОДУКТ»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еквівалента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ійською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мовою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«ORGANIC PRODUCT».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7" w:name="n28"/>
      <w:bookmarkEnd w:id="7"/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виконується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два рядки. Слова «ПРОДУКТ»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«PRODUCT»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розміщуються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нижньому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рядку </w:t>
      </w:r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словами «ОРГАНІЧНИЙ»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«ORGANIC»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8" w:name="n29"/>
      <w:bookmarkEnd w:id="8"/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виконується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великими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літерами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зеленого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кольору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9" w:name="n30"/>
      <w:bookmarkEnd w:id="9"/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Кожне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слів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має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довжину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яка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дорівнює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ширині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графічного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зображення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якою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вважається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відстань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лівої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точки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лівого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точки правого круга.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0" w:name="n31"/>
      <w:bookmarkEnd w:id="10"/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Відстань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графічного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зображення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державного логотипа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верхнього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рядка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нижнього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рядка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квадратної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рамки становить 1/4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Відстань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верхнього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рядка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нижнього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рядка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становить 1/6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1" w:name="n32"/>
      <w:bookmarkEnd w:id="11"/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виконуються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шрифтом «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Helvetica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Висота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іх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літер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становить 1/4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2" w:name="n33"/>
      <w:bookmarkEnd w:id="12"/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відповідних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відстаней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висоти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літер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виносні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елементи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літер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зазначеного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шрифту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уваги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беруться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3" w:name="n34"/>
      <w:bookmarkEnd w:id="13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Контур квадрата, в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поміщено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графічне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зображення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виконується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лінією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зеленого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кольору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крім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випадку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передбаченого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абзацом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другим пункту 5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цього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Технічного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Товщина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лінії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зеленого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кольору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становить 1/48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4" w:name="n35"/>
      <w:bookmarkEnd w:id="14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Контур квадрата, в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поміщено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графічне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зображення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розташовується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відстані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крайніх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верхніх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точок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кіл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</w:t>
      </w:r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точки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лівого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крайньої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точки правого круга, 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також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нижньої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нижнього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рядка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становить 1/4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радіуса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круга. </w:t>
      </w:r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визначення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відповідних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відстаней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виносні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елементи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літер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містить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уваги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беруться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bookmarkStart w:id="15" w:name="n36"/>
      <w:bookmarkEnd w:id="15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Квадрат, у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якому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розміщуються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графічне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зображення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напис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кольору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38825" cy="2228850"/>
            <wp:effectExtent l="19050" t="0" r="9525" b="0"/>
            <wp:docPr id="4" name="Рисунок 4" descr="C:\Users\Admin\Desktop\Без названия 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ез названия (4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6" w:name="n37"/>
      <w:bookmarkEnd w:id="16"/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логотип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розміщуватися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будь-якого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кольору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7" w:name="n38"/>
      <w:bookmarkStart w:id="18" w:name="n39"/>
      <w:bookmarkEnd w:id="17"/>
      <w:bookmarkEnd w:id="18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Кольори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відтворення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державного логотипа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мають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"/>
        <w:gridCol w:w="8745"/>
      </w:tblGrid>
      <w:tr w:rsidR="00360BF0" w:rsidRPr="00360BF0" w:rsidTr="00360BF0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n55"/>
            <w:bookmarkStart w:id="20" w:name="n56"/>
            <w:bookmarkEnd w:id="19"/>
            <w:bookmarkEnd w:id="20"/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120" w:line="360" w:lineRule="atLeast"/>
              <w:ind w:firstLine="255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val="en-US" w:eastAsia="ru-RU"/>
              </w:rPr>
            </w:pPr>
            <w:proofErr w:type="spellStart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жовтий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val="en-US" w:eastAsia="ru-RU"/>
              </w:rPr>
              <w:t xml:space="preserve"> - Pantone DE 1-1 U (CO MS Y100K0);</w:t>
            </w:r>
          </w:p>
        </w:tc>
      </w:tr>
      <w:tr w:rsidR="00360BF0" w:rsidRPr="00360BF0" w:rsidTr="00360BF0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1" w:name="n57"/>
            <w:bookmarkEnd w:id="21"/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120" w:line="360" w:lineRule="atLeast"/>
              <w:ind w:firstLine="255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val="en-US" w:eastAsia="ru-RU"/>
              </w:rPr>
            </w:pPr>
            <w:proofErr w:type="spellStart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зелений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val="en-US" w:eastAsia="ru-RU"/>
              </w:rPr>
              <w:t xml:space="preserve"> - Pantone DE 288-1 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val="en-US" w:eastAsia="ru-RU"/>
              </w:rPr>
              <w:t xml:space="preserve"> (C70 M0 Y100 R20);</w:t>
            </w:r>
          </w:p>
        </w:tc>
      </w:tr>
      <w:tr w:rsidR="00360BF0" w:rsidRPr="00360BF0" w:rsidTr="00360BF0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2" w:name="n58"/>
            <w:bookmarkEnd w:id="22"/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120" w:line="360" w:lineRule="atLeast"/>
              <w:ind w:firstLine="255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val="en-US" w:eastAsia="ru-RU"/>
              </w:rPr>
            </w:pPr>
            <w:proofErr w:type="spellStart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блакитний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val="en-US" w:eastAsia="ru-RU"/>
              </w:rPr>
              <w:t xml:space="preserve"> - Pantone DE 221-3 U (C95 V25 YO K0);</w:t>
            </w:r>
          </w:p>
        </w:tc>
      </w:tr>
      <w:tr w:rsidR="00360BF0" w:rsidRPr="00360BF0" w:rsidTr="00360BF0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3" w:name="n59"/>
            <w:bookmarkEnd w:id="23"/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120" w:line="360" w:lineRule="atLeast"/>
              <w:ind w:firstLine="255"/>
              <w:jc w:val="both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</w:t>
            </w:r>
            <w:proofErr w:type="gram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ілий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- 100 % </w:t>
            </w:r>
            <w:proofErr w:type="spellStart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Pantone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Trans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. </w:t>
            </w:r>
            <w:proofErr w:type="spellStart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White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4" w:name="n44"/>
      <w:bookmarkEnd w:id="24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логотип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використовуватися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будь-якому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масштабі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враховуючи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пропорції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розміри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5" w:name="n45"/>
      <w:bookmarkEnd w:id="25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ширина - 50 мм,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висота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- 50 мм;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6" w:name="n46"/>
      <w:bookmarkEnd w:id="26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ширина - 25 мм,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висота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- 25 мм.</w:t>
      </w:r>
    </w:p>
    <w:p w:rsid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bookmarkStart w:id="27" w:name="n47"/>
      <w:bookmarkEnd w:id="27"/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Мінімальні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розміри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державного логотипа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становлять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14 мм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завширшки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14 мм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заввишки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619750" cy="1609725"/>
            <wp:effectExtent l="19050" t="0" r="0" b="0"/>
            <wp:docPr id="7" name="Рисунок 7" descr="C:\Users\Admin\Desktop\Без названия (5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Без названия (5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bookmarkStart w:id="28" w:name="n48"/>
      <w:bookmarkStart w:id="29" w:name="n49"/>
      <w:bookmarkEnd w:id="28"/>
      <w:bookmarkEnd w:id="29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Якщо етикетка та/або упаковка органічної продукції має недостатню площу для нанесення необхідного маркування (площа найбільшої з поверхонь становить менше ніж 25 см</w:t>
      </w:r>
      <w:r w:rsidRPr="00360BF0">
        <w:rPr>
          <w:rFonts w:ascii="inherit" w:eastAsia="Times New Roman" w:hAnsi="inherit" w:cs="Times New Roman"/>
          <w:b/>
          <w:bCs/>
          <w:color w:val="000000"/>
          <w:sz w:val="2"/>
          <w:lang w:val="uk-UA" w:eastAsia="ru-RU"/>
        </w:rPr>
        <w:t>-</w:t>
      </w:r>
      <w:r w:rsidRPr="00360BF0">
        <w:rPr>
          <w:rFonts w:ascii="Times New Roman" w:eastAsia="Times New Roman" w:hAnsi="Times New Roman" w:cs="Times New Roman"/>
          <w:b/>
          <w:bCs/>
          <w:color w:val="000000"/>
          <w:sz w:val="16"/>
          <w:vertAlign w:val="superscript"/>
          <w:lang w:val="uk-UA" w:eastAsia="ru-RU"/>
        </w:rPr>
        <w:t>2</w:t>
      </w:r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), розміри державного логотипа становитимуть 8 мм завширшки та 8 мм заввишки.</w:t>
      </w:r>
    </w:p>
    <w:p w:rsidR="00360BF0" w:rsidRPr="00360BF0" w:rsidRDefault="00360BF0" w:rsidP="00360BF0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0" w:name="n50"/>
      <w:bookmarkEnd w:id="30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Державний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логотип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наноситися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будь-яку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упаковку,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етикетку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proofErr w:type="gram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ікер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споживчу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тару,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контретикетку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кольєретку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ярлик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пробку,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листок-вкладиш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документ,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повідомлення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інші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елементи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упаковки,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що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супроводжують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органічну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продукцію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належать до </w:t>
      </w:r>
      <w:proofErr w:type="spellStart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неї</w:t>
      </w:r>
      <w:proofErr w:type="spellEnd"/>
      <w:r w:rsidRPr="00360B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29"/>
        <w:gridCol w:w="5426"/>
      </w:tblGrid>
      <w:tr w:rsidR="00360BF0" w:rsidRPr="00360BF0" w:rsidTr="00360BF0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0" w:line="360" w:lineRule="atLeast"/>
              <w:ind w:firstLine="255"/>
              <w:jc w:val="center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bookmarkStart w:id="31" w:name="n51"/>
            <w:bookmarkEnd w:id="31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Заступник директора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Департаменту </w:t>
            </w:r>
            <w:proofErr w:type="spell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продовольства</w:t>
            </w:r>
            <w:proofErr w:type="spellEnd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ідакцизної</w:t>
            </w:r>
            <w:proofErr w:type="spellEnd"/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 </w:t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60BF0" w:rsidRPr="00360BF0" w:rsidRDefault="00360BF0" w:rsidP="00360BF0">
            <w:pPr>
              <w:spacing w:after="0" w:line="360" w:lineRule="atLeast"/>
              <w:ind w:firstLine="255"/>
              <w:jc w:val="righ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br/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br/>
            </w:r>
            <w:r w:rsidRPr="00360BF0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br/>
            </w:r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Л.В. </w:t>
            </w:r>
            <w:proofErr w:type="spellStart"/>
            <w:r w:rsidRPr="00360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Хомічак</w:t>
            </w:r>
            <w:proofErr w:type="spellEnd"/>
          </w:p>
        </w:tc>
      </w:tr>
    </w:tbl>
    <w:p w:rsidR="00B87109" w:rsidRDefault="00B87109"/>
    <w:sectPr w:rsidR="00B87109" w:rsidSect="00B8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BF0"/>
    <w:rsid w:val="00360BF0"/>
    <w:rsid w:val="00B8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36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60BF0"/>
  </w:style>
  <w:style w:type="paragraph" w:customStyle="1" w:styleId="rvps6">
    <w:name w:val="rvps6"/>
    <w:basedOn w:val="a"/>
    <w:rsid w:val="0036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60BF0"/>
  </w:style>
  <w:style w:type="paragraph" w:customStyle="1" w:styleId="rvps2">
    <w:name w:val="rvps2"/>
    <w:basedOn w:val="a"/>
    <w:rsid w:val="0036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360BF0"/>
  </w:style>
  <w:style w:type="paragraph" w:customStyle="1" w:styleId="rvps4">
    <w:name w:val="rvps4"/>
    <w:basedOn w:val="a"/>
    <w:rsid w:val="0036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360BF0"/>
  </w:style>
  <w:style w:type="paragraph" w:customStyle="1" w:styleId="rvps15">
    <w:name w:val="rvps15"/>
    <w:basedOn w:val="a"/>
    <w:rsid w:val="00360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698</Words>
  <Characters>3982</Characters>
  <Application>Microsoft Office Word</Application>
  <DocSecurity>0</DocSecurity>
  <Lines>33</Lines>
  <Paragraphs>9</Paragraphs>
  <ScaleCrop>false</ScaleCrop>
  <Company>WolfishLair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2019-08-02T13:56:00Z</dcterms:created>
  <dcterms:modified xsi:type="dcterms:W3CDTF">2019-08-02T14:05:00Z</dcterms:modified>
</cp:coreProperties>
</file>