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                  ЗАТВЕРДЖЕНО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     постановою Кабінету Міністрів України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           від 11 липня 2002 р. N 956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0" w:name="o17"/>
      <w:bookmarkEnd w:id="0"/>
      <w:r w:rsidRPr="00D4024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    НОРМАТИВИ </w:t>
      </w:r>
      <w:r w:rsidRPr="00D4024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   порогових мас небезпечних речовин для </w:t>
      </w:r>
      <w:r w:rsidRPr="00D4024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  ідентифікації об'єктів підвищеної небезпеки </w:t>
      </w:r>
      <w:r w:rsidRPr="00D4024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</w:t>
      </w:r>
      <w:r w:rsidRPr="00D4024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" w:name="o18"/>
      <w:bookmarkEnd w:id="1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1. Для  ідентифікації  об'єктів   підвищеної   небезпеки   до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небезпечних речовин за їх властивостями відносяться такі категорії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речовин: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" w:name="o19"/>
      <w:bookmarkEnd w:id="2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1) горючі (займисті) гази - гази, які утворюють у повітрі при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нормальному   тиску   суміші,  що  сприяють  поширенню  полум'я  в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детонаційному  чи  дефлаграційному  режимі  або  можуть  горіти  в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повітрі  в  дифузійному  режимі  при витіканні струменем (факельне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горіння), у тому числі: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" w:name="o20"/>
      <w:bookmarkEnd w:id="3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горючі (займисті) стиснуті гази -  гази,  які  знаходяться  в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апаратах,  резервуарах або трубопроводах під тиском,  що перевищує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0,1 МПа, і не можуть перебувати в рідкій фазі;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" w:name="o21"/>
      <w:bookmarkEnd w:id="4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горючі (займисті)  зріджені  гази  під  тиском  -  гази,  які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знаходяться  в  апаратах,  резервуарах  або трубопроводах у рідкій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фазі під тиском,  що перевищує 0,1 МПа,  та  при  температурі,  що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дорівнює або перевищує температуру навколишнього середовища;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" w:name="o22"/>
      <w:bookmarkEnd w:id="5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горючі (займисті)   кріогенно   зріджені  гази  -  гази,  які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знаходяться в апаратах,  резервуарах або  трубопроводах  у  рідкій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фазі  під тиском,  що дорівнює 0,1 МПа,  та при температурі нижчій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 температури навколишнього середовища;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" w:name="o23"/>
      <w:bookmarkEnd w:id="6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2) горючі рідини - рідини, які можуть самозайматися, а  також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займатися за наявності джерела горіння і самостійно  горіти  після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його видалення.  Горючі рідини з температурою спалаху, що дорівнює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або менша 61 град.C у  закритому  тиглі  або  менша  66  град.C  у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відкритому    тиглі,    належать   до   легкозаймистих.   Особливо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небезпечними є легкозаймисті рідини,  температура спалаху яких  не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>перевищує 28 град.C (згідно з ГОСТ 12.1.044-89);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7" w:name="o24"/>
      <w:bookmarkEnd w:id="7"/>
      <w:r w:rsidRPr="00D40245">
        <w:rPr>
          <w:rFonts w:ascii="Consolas" w:eastAsia="Times New Roman" w:hAnsi="Consolas" w:cs="Courier New"/>
          <w:i/>
          <w:iCs/>
          <w:color w:val="292B2C"/>
          <w:sz w:val="20"/>
          <w:szCs w:val="20"/>
          <w:lang w:eastAsia="ru-RU"/>
        </w:rPr>
        <w:t xml:space="preserve">{ Підпункт 2 пункту 1 в редакції Постанови КМ N 990 ( </w:t>
      </w:r>
      <w:hyperlink r:id="rId4" w:tgtFrame="_blank" w:history="1">
        <w:r w:rsidRPr="00D40245">
          <w:rPr>
            <w:rFonts w:ascii="Consolas" w:eastAsia="Times New Roman" w:hAnsi="Consolas" w:cs="Courier New"/>
            <w:i/>
            <w:iCs/>
            <w:color w:val="0275D8"/>
            <w:sz w:val="20"/>
            <w:szCs w:val="20"/>
            <w:u w:val="single"/>
            <w:lang w:eastAsia="ru-RU"/>
          </w:rPr>
          <w:t>990-2011-п</w:t>
        </w:r>
      </w:hyperlink>
      <w:r w:rsidRPr="00D40245">
        <w:rPr>
          <w:rFonts w:ascii="Consolas" w:eastAsia="Times New Roman" w:hAnsi="Consolas" w:cs="Courier New"/>
          <w:i/>
          <w:iCs/>
          <w:color w:val="292B2C"/>
          <w:sz w:val="20"/>
          <w:szCs w:val="20"/>
          <w:lang w:eastAsia="ru-RU"/>
        </w:rPr>
        <w:t xml:space="preserve"> ) </w:t>
      </w:r>
      <w:r w:rsidRPr="00D40245">
        <w:rPr>
          <w:rFonts w:ascii="Consolas" w:eastAsia="Times New Roman" w:hAnsi="Consolas" w:cs="Courier New"/>
          <w:i/>
          <w:iCs/>
          <w:color w:val="292B2C"/>
          <w:sz w:val="20"/>
          <w:szCs w:val="20"/>
          <w:lang w:eastAsia="ru-RU"/>
        </w:rPr>
        <w:br/>
        <w:t xml:space="preserve">від 21.09.2011 } </w:t>
      </w:r>
      <w:r w:rsidRPr="00D40245">
        <w:rPr>
          <w:rFonts w:ascii="Consolas" w:eastAsia="Times New Roman" w:hAnsi="Consolas" w:cs="Courier New"/>
          <w:i/>
          <w:iCs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8" w:name="o25"/>
      <w:bookmarkEnd w:id="8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3) горючі  рідини,  перегріті  під  тиском,  -  горючі рідини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згідно з ГОСТ 12.1.044-89, які знаходяться в апаратах, резервуарах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або   трубопроводах  під  тиском  при  температурі,  що  перевищує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температуру кипіння при атмосферному тиску в 1,25 і більше разів.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9" w:name="o26"/>
      <w:bookmarkEnd w:id="9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Якщо рідина являє собою суміш горючих рідин,  за  температуру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кипіння  при  атмосферному  тиску  береться  температура википання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половини маси рідини.  Якщо даних про таку температуру  немає,  за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температуру кипіння береться температура на початку кипіння суміші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(фракції).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0" w:name="o27"/>
      <w:bookmarkEnd w:id="10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За розрахункову   береться   максимальна    температура    за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регламентом,    робочими    інструкціями   або   іншою   технічною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документацією.  Якщо передбачено блокування  за  температурою,  за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розрахункову береться температура блокування;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1" w:name="o28"/>
      <w:bookmarkEnd w:id="11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4) вибухові  речовини  -  рідкі або тверді речовини чи суміші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речовин,  які  під  впливом  зовнішніх  факторів   здатні   швидко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змінювати свій хімічний склад,  а цей процес саморозповсюджуватися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 виділенням великої  кількості  тепла  і  газоподібних  продуктів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(клас 1 згідно з ГОСТ 19433-88), у тому числі: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2" w:name="o29"/>
      <w:bookmarkEnd w:id="12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речовини або   суміші   речовин,   які,   згораючи  в  режимі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детонації, утворюють ударну хвилю в повітрі;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3" w:name="o30"/>
      <w:bookmarkEnd w:id="13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речовини або суміші речовин,  екзотермічні реакції з якими  у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режимі  детонації,  дефлаграції  або  теплового  вибуху в оболонці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(апараті,  резервуарі,  трубопроводі або  в  спеціальному  виробі)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призводять  до руйнування цієї оболонки з утворенням ударної хвилі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 повітрі та розкиданням уламків.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4" w:name="o31"/>
      <w:bookmarkEnd w:id="14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Вибухові речовини   поділяють   на   ініціюючі    (первинні),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бризантні (вторинні) та піротехнічні.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5" w:name="o32"/>
      <w:bookmarkEnd w:id="15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Ініціюючі  (первинні)  вибухові  речовини - речовини, які під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впливом  теплових  або  механічних  зовнішніх  факторів  здатні до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швидкого  хімічного перетворення з виділенням тепла і газоподібних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продуктів.  {  Абзац  п'ятий  підпункту  4  пункту  1  в  редакції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Постанови КМ N 990 ( </w:t>
      </w:r>
      <w:hyperlink r:id="rId5" w:tgtFrame="_blank" w:history="1">
        <w:r w:rsidRPr="00D40245">
          <w:rPr>
            <w:rFonts w:ascii="Consolas" w:eastAsia="Times New Roman" w:hAnsi="Consolas" w:cs="Courier New"/>
            <w:color w:val="0275D8"/>
            <w:sz w:val="20"/>
            <w:szCs w:val="20"/>
            <w:u w:val="single"/>
            <w:lang w:eastAsia="ru-RU"/>
          </w:rPr>
          <w:t>990-2011-п</w:t>
        </w:r>
      </w:hyperlink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) від 21.09.2011 }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6" w:name="o33"/>
      <w:bookmarkEnd w:id="16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Бризантні (вторинні) вибухові речовини -  речовини,  які  під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впливом  ініціюючих  вибухових  речовин  або  значних  теплових чи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механічних зовнішніх факторів здатні до хімічного  перетворення  з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виділенням  тепла і газоподібних продуктів.  Піротехнічні суміші -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композиції на основі окислювача  та  горючої  речовини  з  різними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функціональними   домішками,  що  здатні  під  впливом  ініціюючих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вибухових речовин або під значним впливом  зовнішніх  факторів  до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екзотермічних реакцій із світловим, тепловим, звуковим, реактивним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або   димовим  (зокрема  сльозогінним)  ефектом;  {  Абзац  шостий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підпункту  4 пункту 1 в редакції Постанови КМ N 990 ( </w:t>
      </w:r>
      <w:hyperlink r:id="rId6" w:tgtFrame="_blank" w:history="1">
        <w:r w:rsidRPr="00D40245">
          <w:rPr>
            <w:rFonts w:ascii="Consolas" w:eastAsia="Times New Roman" w:hAnsi="Consolas" w:cs="Courier New"/>
            <w:color w:val="0275D8"/>
            <w:sz w:val="20"/>
            <w:szCs w:val="20"/>
            <w:u w:val="single"/>
            <w:lang w:eastAsia="ru-RU"/>
          </w:rPr>
          <w:t>990-2011-п</w:t>
        </w:r>
      </w:hyperlink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)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від 21.09.2011 }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7" w:name="o34"/>
      <w:bookmarkEnd w:id="17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5) речовини-окисники - речовини 5 класу небезпеки  (згідно  з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ГОСТ 19433-88), у тому числі: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8" w:name="o35"/>
      <w:bookmarkEnd w:id="18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речовини, які підтримують горіння, викликають та/або сприяють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спалахуванню   інших   речовин    у    результаті    екзотермічної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окисно-відновної   реакції,   температура   розкладання   яких  не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перевищує 65 град. С   та/або час горіння суміші окисника  яких  з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органічною  речовиною  (дубовою  тирсою) не перевищує часу горіння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еталонного окисника з дубовою тирсою (наприклад перманганат калію,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бромат калію, перхлорат калію тощо);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19" w:name="o36"/>
      <w:bookmarkEnd w:id="19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органічні пероксиди   (речовини   з  двовалентною  структурою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кисню, які можуть вважатися похідними пероксиду водню).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0" w:name="o37"/>
      <w:bookmarkEnd w:id="20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До цієї  категорії  відносяться  речовини,  які   підтримують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процес  горіння  (наприклад  кисень,  озон,  оксиди  азоту та інші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речовини в зрідженому стані); { Абзац четвертий підпункту 5 пункту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1  із  змінами,   внесеними   згідно   з   Постановою   КМ  N  990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 </w:t>
      </w:r>
      <w:hyperlink r:id="rId7" w:tgtFrame="_blank" w:history="1">
        <w:r w:rsidRPr="00D40245">
          <w:rPr>
            <w:rFonts w:ascii="Consolas" w:eastAsia="Times New Roman" w:hAnsi="Consolas" w:cs="Courier New"/>
            <w:color w:val="0275D8"/>
            <w:sz w:val="20"/>
            <w:szCs w:val="20"/>
            <w:u w:val="single"/>
            <w:lang w:eastAsia="ru-RU"/>
          </w:rPr>
          <w:t>990-2011-п</w:t>
        </w:r>
      </w:hyperlink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) від 21.09.2011 }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1" w:name="o38"/>
      <w:bookmarkEnd w:id="21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6) високотоксичні та токсичні речовини - речовини,  які мають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властивості, зазначені в таблиці (ГОСТ 12.1.007-76).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2" w:name="o39"/>
      <w:bookmarkEnd w:id="22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--------------------------------------------------------------------------------------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Клас речовини |ГДК у повітрі |   Середня    |  Середня     |  Середня    |Дискриміну-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|робочої зони, | смертельна   | смертельна   | смертельна  | юча доза,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|міліграмів на | доза (LD(50) |доза (LD(50)  |концентрація |міліграмів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         | 1 куб. метр  |     при      |при впливі на |  (LD(50) у  |  на 1 кг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|              |потраплянні в |    шкіру,    |   повітрі   | ваги тіла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|              |   шлунок,    |  міліграмів  |міліграмів на|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|              |міліграмів на |   на 1 кг    | 1 куб. метр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|              |1 кг ваги тіла|  ваги тіла   |      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-------------------------------------------------------------------------------------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Високо-             менш           менш          менш           менш       менш як 5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токсична           як 0,1         як 15         як 100         як 500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3" w:name="o51"/>
      <w:bookmarkEnd w:id="23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Токсична            0,1-1        15-150        100-500       500-5000              5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4" w:name="o52"/>
      <w:bookmarkEnd w:id="24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Токсичність речовини   при   пероральному  впливі  на  тварин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(дискримінуюча  доза)  визначено  методом   фіксованої   дози   за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рекомендаціями Конвенції   про  трансграничний  вплив  промислових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аварій ( </w:t>
      </w:r>
      <w:hyperlink r:id="rId8" w:tgtFrame="_blank" w:history="1">
        <w:r w:rsidRPr="00D40245">
          <w:rPr>
            <w:rFonts w:ascii="Consolas" w:eastAsia="Times New Roman" w:hAnsi="Consolas" w:cs="Courier New"/>
            <w:color w:val="0275D8"/>
            <w:sz w:val="20"/>
            <w:szCs w:val="20"/>
            <w:u w:val="single"/>
            <w:lang w:eastAsia="ru-RU"/>
          </w:rPr>
          <w:t>995_262</w:t>
        </w:r>
      </w:hyperlink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) (1992 рік).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5" w:name="o53"/>
      <w:bookmarkEnd w:id="25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До високотоксичних  відносяться  речовини,  які   за   своїми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біологічними  властивостями  та  токсичністю  належать  до 1 класу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небезпеки,  а до токсичних - речовини,  які за своїми біологічними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властивостями  та токсичністю належать до 2 класу небезпеки згідно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з ГОСТ 12.1.007-76 і 12.1.005-88 та переліками  граничнодопустимих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концентрацій шкідливих речовин, затвердженими МОЗ.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6" w:name="o54"/>
      <w:bookmarkEnd w:id="26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У тих  випадках,  коли  речовину  не віднесено до визначеного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класу небезпеки, це здійснюється МОЗ;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7" w:name="o55"/>
      <w:bookmarkEnd w:id="27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7) речовини,   які   становлять   небезпеку   для    довкілля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(високотоксичні  для  водних  організмів),  - речовини,  які мають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властивості,  зазначені  в  таблиці,  згідно  з   Конвенцією   про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трансграничний  вплив  промислових  аварій ( </w:t>
      </w:r>
      <w:hyperlink r:id="rId9" w:tgtFrame="_blank" w:history="1">
        <w:r w:rsidRPr="00D40245">
          <w:rPr>
            <w:rFonts w:ascii="Consolas" w:eastAsia="Times New Roman" w:hAnsi="Consolas" w:cs="Courier New"/>
            <w:color w:val="0275D8"/>
            <w:sz w:val="20"/>
            <w:szCs w:val="20"/>
            <w:u w:val="single"/>
            <w:lang w:eastAsia="ru-RU"/>
          </w:rPr>
          <w:t>995_262</w:t>
        </w:r>
      </w:hyperlink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) (1992 рік);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речовини,  які  можуть  здійснювати  тривалий  негативний вплив на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водне  середовище. { Абзац перший підпункту 7 пункту 1 із змінами,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внесеними  згідно  з  Постановою  КМ  N  990  (  </w:t>
      </w:r>
      <w:hyperlink r:id="rId10" w:tgtFrame="_blank" w:history="1">
        <w:r w:rsidRPr="00D40245">
          <w:rPr>
            <w:rFonts w:ascii="Consolas" w:eastAsia="Times New Roman" w:hAnsi="Consolas" w:cs="Courier New"/>
            <w:color w:val="0275D8"/>
            <w:sz w:val="20"/>
            <w:szCs w:val="20"/>
            <w:u w:val="single"/>
            <w:lang w:eastAsia="ru-RU"/>
          </w:rPr>
          <w:t>990-2011-п</w:t>
        </w:r>
      </w:hyperlink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) від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21.09.2011 }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8" w:name="o56"/>
      <w:bookmarkEnd w:id="28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-----------------------------------------------------------------------------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Смертельна          | Ефективна концентрація | Інгібуюча концентрація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концентрація (LC(50), при |  (EC(50) при впливі на |  (IC(50) при впливі на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впливі на рибу протягом   |     дафнії протягом    |    водорості протягом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96 годин, міліграмів на   |48 годин, міліграмів на | 72 годин, міліграмів на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1 літр              |         1 літр         |         1 літр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-----------------------------------------------------------------------------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не більш як 10             не більш як 10           не більш як 10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29" w:name="o64"/>
      <w:bookmarkEnd w:id="29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2. За   видами   аварій,   що   можуть   статися  виходячи  з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властивостей  небезпечних  речовин,  та  за   впливом   уражальних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факторів  цих  аварій категорії небезпечних речовин об'єднуються в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групи: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0" w:name="o65"/>
      <w:bookmarkEnd w:id="30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група 1 (вибух) -  горючі  (займисті)  гази,  горючі  рідини,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перегріті під тиском,  ініціюючі (первинні),  бризантні (вторинні)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 піротехнічні вибухові речовини,  речовини-окислювачі, речовини,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які  вступають  у  бурхливу  реакцію  з водою з виділенням горючих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та/або вибухонебезпечних чи токсичних газів;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1" w:name="o66"/>
      <w:bookmarkEnd w:id="31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група 2 (пожежа) - горючі  (займисті)  гази,  горючі  рідини,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горючі рідини,  перегріті під тиском,  речовини-окисники,  а також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речовини,  які вступають у бурхливу реакцію з водою  з  виділенням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горючих та/або вибухонебезпечних чи токсичних газів;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2" w:name="o67"/>
      <w:bookmarkEnd w:id="32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група 3  (шкідливі  для  людей  і  довкілля) - високотоксичні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речовини,  токсичні речовини,  речовини,  які становлять небезпеку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для довкілля (високотоксичні для водних організмів), речовини, які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становлять небезпеку для довкілля (токсичні для водних організмів)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та/або можуть здійснювати довгостроковий негативний вплив на водне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середовище,  а також речовини,  які вступають у бурхливу реакцію з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водою  з  виділенням горючих та/або вибухонебезпечних чи токсичних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газів.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3" w:name="o68"/>
      <w:bookmarkEnd w:id="33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3. Індивідуальними   небезпечними    речовинами    вважаються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речовини   та   суміші  речовин,  для  яких  встановлено  значення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нормативів порогових мас,  що відрізняються від значень нормативів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порогових мас тих категорій, до яких ці речовини можна віднести за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їх властивостями (нормативи порогових  мас  деяких  індивідуальних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небезпечних речовин наведено у додатку 1, а небезпечних речовин за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категоріями - у додатку 2).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4" w:name="o69"/>
      <w:bookmarkEnd w:id="34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 Додаток 1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           до нормативів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(у редакції постанови Кабінету Міністрів України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   від 21 вересня 2011 р. N 990)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          ( </w:t>
      </w:r>
      <w:hyperlink r:id="rId11" w:tgtFrame="_blank" w:history="1">
        <w:r w:rsidRPr="00D40245">
          <w:rPr>
            <w:rFonts w:ascii="Consolas" w:eastAsia="Times New Roman" w:hAnsi="Consolas" w:cs="Courier New"/>
            <w:color w:val="0275D8"/>
            <w:sz w:val="20"/>
            <w:szCs w:val="20"/>
            <w:u w:val="single"/>
            <w:lang w:eastAsia="ru-RU"/>
          </w:rPr>
          <w:t>990-2011-п</w:t>
        </w:r>
      </w:hyperlink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)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5" w:name="o70"/>
      <w:bookmarkEnd w:id="35"/>
      <w:r w:rsidRPr="00D4024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    НОРМАТИВИ </w:t>
      </w:r>
      <w:r w:rsidRPr="00D4024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порогових мас деяких індивідуальних небезпечних речовин </w:t>
      </w:r>
      <w:r w:rsidRPr="00D4024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</w:t>
      </w:r>
      <w:r w:rsidRPr="00D4024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6" w:name="o71"/>
      <w:bookmarkEnd w:id="36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Найменування індивідуальної  |  Порогова   |   Категорії та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небезпечної речовини     |  маса, тонн |  групи, до яких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|             |    може бути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|             |віднесена речовина|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|-------------+------------------|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|1 клас|2 клас|категорія | група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|Алкіли свинцю                  |  50  |  5   |2, 3, 7, 9|1, 2, 3|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|Аміак                          |  500 |  50  |   1, 8   |  1, 3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|Амонію нітрат*                 | 2500 |  350 |    5     |   1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|Амонію нітрат (добрива)**      | 5000 | 1250 |    5     |   1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|Арсенатний ангідрид, арсенатна |  2   |  1   |  7, 8, 9 |   3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|кислота та/або її солі       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|Арсенітний ангідрид, арсенітна |  0,1 |      |  7, 8, 9 |   3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|кислота та/або її солі       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|Арсеновмісний водень (арсін)   |  1   |  0,2 |  1, 7, 9 |1, 2, 3|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|Ацетилен                       |  50  |  5   |    1     |  1, 2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|Берилій та його сполуки у      | 0,01 |      |   3, 7   |  2, 3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|перерахунку на берилій       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|Бром                           |  50  |  20  |  6, 8, 9 |1, 2, 3|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|Водень                         |  50  |  5   |    1     |  1, 2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|Вугільної кислоти              | 0,75 |  0,3 |    8     |   3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|дихлорангідрид (фосген)      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|Етилену оксид                  |  50  |  5   |  1, 5, 8 |  1, 2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|Кисень                         | 2000 |  200 |    6     |  1, 2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|Метанол                        | 5000 |  500 |  2, 3, 9 |1, 2, 3|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|Метилізоціанат                 | 0,15 |      |  2, 3, 7 |1, 2, 3|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|4,4-метилен-біс(2-хлоранілін)  | 0,01 |      |  3, 7, 9 |1, 2, 3|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|та/або солі в порошкоподібному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|стані                        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|Нікелеві сполуки               |  1   |      |    7     |   3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|(дрібнодисперсний порошок),  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|монооксид нікелю, діоксид    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|нікелю, триоксид нікелю,     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|сульфід нікелю (II), сульфід 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|нікелю (III)                 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|Поліхлоридні дибензофурани та  |0,001 |      |   7, 9   |   3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|поліхлоридні дибензодіоксини 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                        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|(включаючи ТХДД), розраховані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|із застосуванням коефіцієнта 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|токсичного еквіваленту ТХДД***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|Пропілену оксид                |  50  |  5   |  2, 3, 8 |  1, 2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|Сірки діоксид                  |  250 |  25  |    1     |  1, 2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|Сірки триоксид                 |  75  |  7,5 |    8     |   3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|Сірководень                    |  50  |  5   |   1, 8   |  1, 2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|Толуїдиндиізоціонат            |  100 |  10  |   3, 7   |1, 2, 3|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|Формальдегід (концентрація     |  50  |  5   |  1, 8, 9 |1, 2, 3|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|понад 90 відсотків)          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|Фосфористий водень (фосфін)    |  1   |  0,2 |   7, 9   |   3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|Хлор                           |  25  |  10  |   6, 8   |  1, 2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|Хлороводень (зріджений газ)    |  250 |  25  |   8, 9   |   3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|-------------------------------+------+------+----------+-------|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|Канцерогени: 4-амінобіфеніл    |0,001 |      |   7, 9   |   3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|та/або його солі, бензидин   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|та/або його солі,            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|бі(хлорметиловий) ефір,      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|хлорметилметиловий ефір,     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|диметилкарбамілхлорид,       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|диметилнітрозомін,           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|гексаметилфосфористий триамід,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|2-нафтиламін та/або          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|його солі,                     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|1,3-пропансултон-4-нітродифеніл|      |      |          |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7" w:name="o164"/>
      <w:bookmarkEnd w:id="37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_______________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* Масовий вміст  азоту  в  амонію  нітраті  та  його  сумішах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становить  понад  28  відсотків,  а  водяні розчини амонію нітрату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містять понад 90 відсотків азоту.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8" w:name="o165"/>
      <w:bookmarkEnd w:id="38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 xml:space="preserve">     ** Масовий вміст азоту в простих добривах  на  основі  амонію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нітрату,  а  також  у складних добривах на його основі (з фосфатом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та/або поташем) становить понад 28 відсотків.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39" w:name="o166"/>
      <w:bookmarkEnd w:id="39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*** Коефіцієнти     токсичного     еквіваленту     (ХДД     -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хлордибензодіоксин,  ХДФ - хлордибензофуран, Т - тетра, П - пента,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Гкс - гекса, Гпт - гепта, О - окта):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0" w:name="o167"/>
      <w:bookmarkEnd w:id="40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1,2,3,7,8 - ПХДД                   0,5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1" w:name="o168"/>
      <w:bookmarkEnd w:id="41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1,2,3,4,7,8 - ГксХДД               0,1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2" w:name="o169"/>
      <w:bookmarkEnd w:id="42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1,2,3,6,7,8 - ГксХДД               0,1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3" w:name="o170"/>
      <w:bookmarkEnd w:id="43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1,2,3,7,8,9 - ГксХДД               0,1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4" w:name="o171"/>
      <w:bookmarkEnd w:id="44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1,2,3,4,6,7,8 - ГптХДД             0,01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5" w:name="o172"/>
      <w:bookmarkEnd w:id="45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ОХДД                               0,001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6" w:name="o173"/>
      <w:bookmarkEnd w:id="46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2,3,7,8 - ТХДФ                     0,1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7" w:name="o174"/>
      <w:bookmarkEnd w:id="47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2,3,4,7,8 - ПХДФ                   0,5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8" w:name="o175"/>
      <w:bookmarkEnd w:id="48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1,2,3,7,8 - ПХДФ                   0,05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49" w:name="o176"/>
      <w:bookmarkEnd w:id="49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1,2,3,4,7,8 - ГксХДФ               0,1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0" w:name="o177"/>
      <w:bookmarkEnd w:id="50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1,2,3,7,8,9 - ГксХДФ               0,1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1" w:name="o178"/>
      <w:bookmarkEnd w:id="51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1,2,3,6,7,8 - ГксХДФ               0,1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2" w:name="o179"/>
      <w:bookmarkEnd w:id="52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2,3,4,6,7,8 - ГксХДФ               0,1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3" w:name="o180"/>
      <w:bookmarkEnd w:id="53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1,2,3,4,6,7,8 - ГксХДФ             0,01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4" w:name="o181"/>
      <w:bookmarkEnd w:id="54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1,2,3,4,7,8,9 - ГксХДФ             0,01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5" w:name="o182"/>
      <w:bookmarkEnd w:id="55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ОХДФ                               0,001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6" w:name="o183"/>
      <w:bookmarkEnd w:id="56"/>
      <w:r w:rsidRPr="00D40245">
        <w:rPr>
          <w:rFonts w:ascii="Consolas" w:eastAsia="Times New Roman" w:hAnsi="Consolas" w:cs="Courier New"/>
          <w:i/>
          <w:iCs/>
          <w:color w:val="292B2C"/>
          <w:sz w:val="20"/>
          <w:szCs w:val="20"/>
          <w:lang w:eastAsia="ru-RU"/>
        </w:rPr>
        <w:t xml:space="preserve">{  Додаток  1  в  редакції  Постанови  КМ N 990 ( </w:t>
      </w:r>
      <w:hyperlink r:id="rId12" w:tgtFrame="_blank" w:history="1">
        <w:r w:rsidRPr="00D40245">
          <w:rPr>
            <w:rFonts w:ascii="Consolas" w:eastAsia="Times New Roman" w:hAnsi="Consolas" w:cs="Courier New"/>
            <w:i/>
            <w:iCs/>
            <w:color w:val="0275D8"/>
            <w:sz w:val="20"/>
            <w:szCs w:val="20"/>
            <w:u w:val="single"/>
            <w:lang w:eastAsia="ru-RU"/>
          </w:rPr>
          <w:t>990-2011-п</w:t>
        </w:r>
      </w:hyperlink>
      <w:r w:rsidRPr="00D40245">
        <w:rPr>
          <w:rFonts w:ascii="Consolas" w:eastAsia="Times New Roman" w:hAnsi="Consolas" w:cs="Courier New"/>
          <w:i/>
          <w:iCs/>
          <w:color w:val="292B2C"/>
          <w:sz w:val="20"/>
          <w:szCs w:val="20"/>
          <w:lang w:eastAsia="ru-RU"/>
        </w:rPr>
        <w:t xml:space="preserve"> ) від </w:t>
      </w:r>
      <w:r w:rsidRPr="00D40245">
        <w:rPr>
          <w:rFonts w:ascii="Consolas" w:eastAsia="Times New Roman" w:hAnsi="Consolas" w:cs="Courier New"/>
          <w:i/>
          <w:iCs/>
          <w:color w:val="292B2C"/>
          <w:sz w:val="20"/>
          <w:szCs w:val="20"/>
          <w:lang w:eastAsia="ru-RU"/>
        </w:rPr>
        <w:br/>
        <w:t xml:space="preserve">21.09.2011 } </w:t>
      </w:r>
      <w:r w:rsidRPr="00D40245">
        <w:rPr>
          <w:rFonts w:ascii="Consolas" w:eastAsia="Times New Roman" w:hAnsi="Consolas" w:cs="Courier New"/>
          <w:i/>
          <w:iCs/>
          <w:color w:val="292B2C"/>
          <w:sz w:val="20"/>
          <w:szCs w:val="20"/>
          <w:lang w:eastAsia="ru-RU"/>
        </w:rPr>
        <w:br/>
        <w:t xml:space="preserve"> </w:t>
      </w:r>
      <w:r w:rsidRPr="00D40245">
        <w:rPr>
          <w:rFonts w:ascii="Consolas" w:eastAsia="Times New Roman" w:hAnsi="Consolas" w:cs="Courier New"/>
          <w:i/>
          <w:iCs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7" w:name="o184"/>
      <w:bookmarkEnd w:id="57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                                    Додаток 2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           до нормативів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(у редакції постанови Кабінету Міністрів України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   від 21 вересня 2011 р. N 990)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  <w:t xml:space="preserve">                                  ( </w:t>
      </w:r>
      <w:hyperlink r:id="rId13" w:tgtFrame="_blank" w:history="1">
        <w:r w:rsidRPr="00D40245">
          <w:rPr>
            <w:rFonts w:ascii="Consolas" w:eastAsia="Times New Roman" w:hAnsi="Consolas" w:cs="Courier New"/>
            <w:color w:val="0275D8"/>
            <w:sz w:val="20"/>
            <w:szCs w:val="20"/>
            <w:u w:val="single"/>
            <w:lang w:eastAsia="ru-RU"/>
          </w:rPr>
          <w:t>990-2011-п</w:t>
        </w:r>
      </w:hyperlink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 )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8" w:name="o185"/>
      <w:bookmarkEnd w:id="58"/>
      <w:r w:rsidRPr="00D4024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t xml:space="preserve">                            НОРМАТИВИ </w:t>
      </w:r>
      <w:r w:rsidRPr="00D4024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  <w:t xml:space="preserve">         порогових мас небезпечних речовин за категоріями </w:t>
      </w:r>
      <w:r w:rsidRPr="00D40245">
        <w:rPr>
          <w:rFonts w:ascii="Consolas" w:eastAsia="Times New Roman" w:hAnsi="Consolas" w:cs="Courier New"/>
          <w:b/>
          <w:bCs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59" w:name="o186"/>
      <w:bookmarkEnd w:id="59"/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------------------------------------------------------------------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|Номер|   Найменування категорії   |  Порогова   | Групи, до яких|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|кате-|    небезпечних речовин     |  маса, тонн |   може бути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|горії|                            |-------------|   віднесена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|                            |1 клас|2 клас|    речовина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|                            |      |      |  відповідної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|                            |      |      |   категорії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|-----+----------------------------+------+------+---------------|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1  |Горючі (займисті) гази      |  200 |  50  |      1, 2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lastRenderedPageBreak/>
        <w:t>|-----+----------------------------+------+------+---------------|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2  |Горючі рідини               |50 000|5 000 |       2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|-----+----------------------------+------+------+---------------|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3  |Горючі рідини, перегріті під|  200 |  50  |      1, 2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|тиском                      |      |      |        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|-----+----------------------------+------+------+---------------|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4  |Ініціюючі (первинні)        |  50  |  10  |       1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|вибухові речовини           |      |      |        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|-----+----------------------------+------+------+---------------|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5  |Бризантні (вторинні) та     |  200 |  50  |       1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|піротехнічні вибухові       |      |      |        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|речовини                    |      |      |        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|-----+----------------------------+------+------+---------------|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6  |Речовини-окисники           |  200 |  50  |      1, 2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|-----+----------------------------+------+------+---------------|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7  |Високотоксичні речовини     |  20  |  5   |       3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|-----+----------------------------+------+------+---------------|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8  |Токсичні речовини           |  200 |  50  |       3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|-----+----------------------------+------+------+---------------|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9  |Речовини, які становлять    |  500 |  200 |       3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|небезпеку для навколишнього |      |      |        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|природного середовища       |      |      |        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|(високотоксичні для водних  |      |      |        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|організмів) та/або можуть   |      |      |        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|здійснювати довгостроковий  |      |      |        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|негативний вплив на водне   |      |      |        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|середовище                  |      |      |        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|-----+----------------------------+------+------+---------------|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10  |Речовини, які вступають у   |  200 |  50  |   1, 2, 3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|бурхливу реакцію з водою з  |      |      |        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|виділенням горючих та/або   |      |      |        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|вибухонебезпечних чи        |      |      |        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>|     |токсичних газів             |      |      |               |</w:t>
      </w:r>
    </w:p>
    <w:p w:rsidR="00D40245" w:rsidRPr="00D40245" w:rsidRDefault="00D40245" w:rsidP="00D402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t xml:space="preserve">------------------------------------------------------------------ </w:t>
      </w:r>
      <w:r w:rsidRPr="00D40245"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  <w:br/>
      </w:r>
    </w:p>
    <w:p w:rsidR="00D40245" w:rsidRPr="00D40245" w:rsidRDefault="00D40245" w:rsidP="004D53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0"/>
          <w:szCs w:val="20"/>
          <w:lang w:eastAsia="ru-RU"/>
        </w:rPr>
      </w:pPr>
      <w:bookmarkStart w:id="60" w:name="o229"/>
      <w:bookmarkEnd w:id="60"/>
      <w:r w:rsidRPr="00D40245">
        <w:rPr>
          <w:rFonts w:ascii="Consolas" w:eastAsia="Times New Roman" w:hAnsi="Consolas" w:cs="Courier New"/>
          <w:i/>
          <w:iCs/>
          <w:color w:val="292B2C"/>
          <w:sz w:val="20"/>
          <w:szCs w:val="20"/>
          <w:lang w:eastAsia="ru-RU"/>
        </w:rPr>
        <w:t xml:space="preserve">{  Додаток  2  в  редакції  Постанови  КМ N 990 ( </w:t>
      </w:r>
      <w:hyperlink r:id="rId14" w:tgtFrame="_blank" w:history="1">
        <w:r w:rsidRPr="00D40245">
          <w:rPr>
            <w:rFonts w:ascii="Consolas" w:eastAsia="Times New Roman" w:hAnsi="Consolas" w:cs="Courier New"/>
            <w:i/>
            <w:iCs/>
            <w:color w:val="0275D8"/>
            <w:sz w:val="20"/>
            <w:szCs w:val="20"/>
            <w:u w:val="single"/>
            <w:lang w:eastAsia="ru-RU"/>
          </w:rPr>
          <w:t>990-2011-п</w:t>
        </w:r>
      </w:hyperlink>
      <w:r w:rsidRPr="00D40245">
        <w:rPr>
          <w:rFonts w:ascii="Consolas" w:eastAsia="Times New Roman" w:hAnsi="Consolas" w:cs="Courier New"/>
          <w:i/>
          <w:iCs/>
          <w:color w:val="292B2C"/>
          <w:sz w:val="20"/>
          <w:szCs w:val="20"/>
          <w:lang w:eastAsia="ru-RU"/>
        </w:rPr>
        <w:t xml:space="preserve"> ) від </w:t>
      </w:r>
      <w:r w:rsidRPr="00D40245">
        <w:rPr>
          <w:rFonts w:ascii="Consolas" w:eastAsia="Times New Roman" w:hAnsi="Consolas" w:cs="Courier New"/>
          <w:i/>
          <w:iCs/>
          <w:color w:val="292B2C"/>
          <w:sz w:val="20"/>
          <w:szCs w:val="20"/>
          <w:lang w:eastAsia="ru-RU"/>
        </w:rPr>
        <w:br/>
        <w:t xml:space="preserve">21.09.2011 } </w:t>
      </w:r>
      <w:r w:rsidRPr="00D40245">
        <w:rPr>
          <w:rFonts w:ascii="Consolas" w:eastAsia="Times New Roman" w:hAnsi="Consolas" w:cs="Courier New"/>
          <w:i/>
          <w:iCs/>
          <w:color w:val="292B2C"/>
          <w:sz w:val="20"/>
          <w:szCs w:val="20"/>
          <w:lang w:eastAsia="ru-RU"/>
        </w:rPr>
        <w:br/>
        <w:t xml:space="preserve"> </w:t>
      </w:r>
      <w:r w:rsidRPr="00D40245">
        <w:rPr>
          <w:rFonts w:ascii="Consolas" w:eastAsia="Times New Roman" w:hAnsi="Consolas" w:cs="Courier New"/>
          <w:i/>
          <w:iCs/>
          <w:color w:val="292B2C"/>
          <w:sz w:val="20"/>
          <w:szCs w:val="20"/>
          <w:lang w:eastAsia="ru-RU"/>
        </w:rPr>
        <w:br/>
      </w:r>
      <w:bookmarkStart w:id="61" w:name="_GoBack"/>
      <w:bookmarkEnd w:id="61"/>
    </w:p>
    <w:p w:rsidR="000837AE" w:rsidRPr="00D40245" w:rsidRDefault="004D5336">
      <w:pPr>
        <w:rPr>
          <w:sz w:val="20"/>
          <w:szCs w:val="20"/>
        </w:rPr>
      </w:pPr>
    </w:p>
    <w:sectPr w:rsidR="000837AE" w:rsidRPr="00D40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245"/>
    <w:rsid w:val="004D5336"/>
    <w:rsid w:val="00D40245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3DD4F-0034-462A-A30A-E88391B6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40245"/>
  </w:style>
  <w:style w:type="paragraph" w:customStyle="1" w:styleId="msonormal0">
    <w:name w:val="msonormal"/>
    <w:basedOn w:val="a"/>
    <w:rsid w:val="00D4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402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4024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4024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4024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95_262" TargetMode="External"/><Relationship Id="rId13" Type="http://schemas.openxmlformats.org/officeDocument/2006/relationships/hyperlink" Target="https://zakon.rada.gov.ua/laws/show/990-2011-%D0%B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990-2011-%D0%BF" TargetMode="External"/><Relationship Id="rId12" Type="http://schemas.openxmlformats.org/officeDocument/2006/relationships/hyperlink" Target="https://zakon.rada.gov.ua/laws/show/990-2011-%D0%B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990-2011-%D0%BF" TargetMode="External"/><Relationship Id="rId11" Type="http://schemas.openxmlformats.org/officeDocument/2006/relationships/hyperlink" Target="https://zakon.rada.gov.ua/laws/show/990-2011-%D0%BF" TargetMode="External"/><Relationship Id="rId5" Type="http://schemas.openxmlformats.org/officeDocument/2006/relationships/hyperlink" Target="https://zakon.rada.gov.ua/laws/show/990-2011-%D0%B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zakon.rada.gov.ua/laws/show/990-2011-%D0%BF" TargetMode="External"/><Relationship Id="rId4" Type="http://schemas.openxmlformats.org/officeDocument/2006/relationships/hyperlink" Target="https://zakon.rada.gov.ua/laws/show/990-2011-%D0%BF" TargetMode="External"/><Relationship Id="rId9" Type="http://schemas.openxmlformats.org/officeDocument/2006/relationships/hyperlink" Target="https://zakon.rada.gov.ua/laws/show/995_262" TargetMode="External"/><Relationship Id="rId14" Type="http://schemas.openxmlformats.org/officeDocument/2006/relationships/hyperlink" Target="https://zakon.rada.gov.ua/laws/show/990-2011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3376</Words>
  <Characters>19248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2019-07-27T16:21:00Z</dcterms:created>
  <dcterms:modified xsi:type="dcterms:W3CDTF">2019-07-27T16:27:00Z</dcterms:modified>
</cp:coreProperties>
</file>