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 xml:space="preserve">Таблица 5. </w:t>
      </w:r>
      <w:r w:rsidRPr="004D06E0">
        <w:rPr>
          <w:rFonts w:ascii="Times New Roman" w:eastAsia="Times New Roman" w:hAnsi="Times New Roman" w:cs="Times New Roman"/>
          <w:b/>
          <w:bCs/>
          <w:sz w:val="24"/>
          <w:szCs w:val="24"/>
          <w:lang w:val="ru-RU" w:eastAsia="ru-RU"/>
        </w:rPr>
        <w:t>Учет у арендодателя</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3"/>
        <w:gridCol w:w="7465"/>
      </w:tblGrid>
      <w:tr w:rsidR="004D06E0" w:rsidRPr="004D06E0" w:rsidTr="004D06E0">
        <w:trPr>
          <w:tblCellSpacing w:w="15" w:type="dxa"/>
        </w:trPr>
        <w:tc>
          <w:tcPr>
            <w:tcW w:w="0" w:type="auto"/>
            <w:vAlign w:val="center"/>
            <w:hideMark/>
          </w:tcPr>
          <w:p w:rsidR="004D06E0" w:rsidRPr="004D06E0" w:rsidRDefault="004D06E0" w:rsidP="004D06E0">
            <w:pPr>
              <w:spacing w:before="100" w:beforeAutospacing="1" w:after="100" w:afterAutospacing="1" w:line="240" w:lineRule="auto"/>
              <w:jc w:val="center"/>
              <w:rPr>
                <w:rFonts w:ascii="Times New Roman" w:eastAsia="Times New Roman" w:hAnsi="Times New Roman" w:cs="Times New Roman"/>
                <w:sz w:val="24"/>
                <w:szCs w:val="24"/>
                <w:lang w:val="ru-RU" w:eastAsia="ru-RU"/>
              </w:rPr>
            </w:pPr>
            <w:bookmarkStart w:id="0" w:name="_GoBack"/>
            <w:r w:rsidRPr="004D06E0">
              <w:rPr>
                <w:rFonts w:ascii="Times New Roman" w:eastAsia="Times New Roman" w:hAnsi="Times New Roman" w:cs="Times New Roman"/>
                <w:b/>
                <w:bCs/>
                <w:sz w:val="24"/>
                <w:szCs w:val="24"/>
                <w:lang w:val="ru-RU" w:eastAsia="ru-RU"/>
              </w:rPr>
              <w:t>Вид учета/налога</w:t>
            </w:r>
          </w:p>
        </w:tc>
        <w:tc>
          <w:tcPr>
            <w:tcW w:w="0" w:type="auto"/>
            <w:vAlign w:val="center"/>
            <w:hideMark/>
          </w:tcPr>
          <w:p w:rsidR="004D06E0" w:rsidRPr="004D06E0" w:rsidRDefault="004D06E0" w:rsidP="004D06E0">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b/>
                <w:bCs/>
                <w:sz w:val="24"/>
                <w:szCs w:val="24"/>
                <w:lang w:val="ru-RU" w:eastAsia="ru-RU"/>
              </w:rPr>
              <w:t>Порядок учета/налогообложения</w:t>
            </w:r>
          </w:p>
        </w:tc>
      </w:tr>
      <w:tr w:rsidR="004D06E0" w:rsidRPr="004D06E0" w:rsidTr="004D06E0">
        <w:trPr>
          <w:tblCellSpacing w:w="15" w:type="dxa"/>
        </w:trPr>
        <w:tc>
          <w:tcPr>
            <w:tcW w:w="0" w:type="auto"/>
            <w:vAlign w:val="center"/>
            <w:hideMark/>
          </w:tcPr>
          <w:p w:rsidR="004D06E0" w:rsidRPr="004D06E0" w:rsidRDefault="004D06E0" w:rsidP="004D06E0">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b/>
                <w:bCs/>
                <w:sz w:val="24"/>
                <w:szCs w:val="24"/>
                <w:lang w:val="ru-RU" w:eastAsia="ru-RU"/>
              </w:rPr>
              <w:t>1</w:t>
            </w:r>
          </w:p>
        </w:tc>
        <w:tc>
          <w:tcPr>
            <w:tcW w:w="0" w:type="auto"/>
            <w:vAlign w:val="center"/>
            <w:hideMark/>
          </w:tcPr>
          <w:p w:rsidR="004D06E0" w:rsidRPr="004D06E0" w:rsidRDefault="004D06E0" w:rsidP="004D06E0">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b/>
                <w:bCs/>
                <w:sz w:val="24"/>
                <w:szCs w:val="24"/>
                <w:lang w:val="ru-RU" w:eastAsia="ru-RU"/>
              </w:rPr>
              <w:t>2</w:t>
            </w:r>
          </w:p>
        </w:tc>
      </w:tr>
      <w:tr w:rsidR="004D06E0" w:rsidRPr="004D06E0" w:rsidTr="004D06E0">
        <w:trPr>
          <w:tblCellSpacing w:w="15" w:type="dxa"/>
        </w:trPr>
        <w:tc>
          <w:tcPr>
            <w:tcW w:w="0" w:type="auto"/>
            <w:vAlign w:val="center"/>
            <w:hideMark/>
          </w:tcPr>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Бухгалтерский учет</w:t>
            </w:r>
          </w:p>
        </w:tc>
        <w:tc>
          <w:tcPr>
            <w:tcW w:w="0" w:type="auto"/>
            <w:vAlign w:val="center"/>
            <w:hideMark/>
          </w:tcPr>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В этой ситуации арендодатель отражает улучшение принадлежащего ему объекта ОС в общем порядке, увеличивая при этом первоначальную стоимость этого объекта на стоимость работ по улучшению, произведенных арендатором. Подробнее об этом см. «</w:t>
            </w:r>
            <w:hyperlink r:id="rId4" w:tgtFrame="_blank" w:history="1">
              <w:r w:rsidRPr="004D06E0">
                <w:rPr>
                  <w:rFonts w:ascii="Times New Roman" w:eastAsia="Times New Roman" w:hAnsi="Times New Roman" w:cs="Times New Roman"/>
                  <w:color w:val="0000FF"/>
                  <w:sz w:val="24"/>
                  <w:szCs w:val="24"/>
                  <w:u w:val="single"/>
                  <w:lang w:val="ru-RU" w:eastAsia="ru-RU"/>
                </w:rPr>
                <w:t>Учет ремонтов и улучшений собственных основных средств</w:t>
              </w:r>
            </w:hyperlink>
            <w:r w:rsidRPr="004D06E0">
              <w:rPr>
                <w:rFonts w:ascii="Times New Roman" w:eastAsia="Times New Roman" w:hAnsi="Times New Roman" w:cs="Times New Roman"/>
                <w:sz w:val="24"/>
                <w:szCs w:val="24"/>
                <w:lang w:val="ru-RU" w:eastAsia="ru-RU"/>
              </w:rPr>
              <w:t>».</w:t>
            </w:r>
          </w:p>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Если арендодатель передал в операционную аренду недвижимость и она учитывается у него в составе инвестиционной недвижимости (о необходимости перевода недвижимости, переданной в операционную аренду, в состав инвестиционной мы писали в «</w:t>
            </w:r>
            <w:hyperlink r:id="rId5" w:tgtFrame="_blank" w:history="1">
              <w:r w:rsidRPr="004D06E0">
                <w:rPr>
                  <w:rFonts w:ascii="Times New Roman" w:eastAsia="Times New Roman" w:hAnsi="Times New Roman" w:cs="Times New Roman"/>
                  <w:color w:val="0000FF"/>
                  <w:sz w:val="24"/>
                  <w:szCs w:val="24"/>
                  <w:u w:val="single"/>
                  <w:lang w:val="ru-RU" w:eastAsia="ru-RU"/>
                </w:rPr>
                <w:t>Учет операционной аренды: обе стороны – юрлица</w:t>
              </w:r>
            </w:hyperlink>
            <w:r w:rsidRPr="004D06E0">
              <w:rPr>
                <w:rFonts w:ascii="Times New Roman" w:eastAsia="Times New Roman" w:hAnsi="Times New Roman" w:cs="Times New Roman"/>
                <w:sz w:val="24"/>
                <w:szCs w:val="24"/>
                <w:lang w:val="ru-RU" w:eastAsia="ru-RU"/>
              </w:rPr>
              <w:t>»), то расходы на ее улучшение (модернизацию, модификацию, достройку, дооборудование, реконструкцию и т. п.), которое приводит к увеличению будущих экономических выгод, также относятся на увеличение ее первоначальной стоимости (п. 14 П(С)БУ 32). Заметим, что порядок учета операции по улучшению объекта инвестиционной недвижимости не зависит от того, по какой модели ведется ее учет – по первоначальной стоимости или по справедливой</w:t>
            </w:r>
          </w:p>
        </w:tc>
      </w:tr>
      <w:tr w:rsidR="004D06E0" w:rsidRPr="004D06E0" w:rsidTr="004D06E0">
        <w:trPr>
          <w:tblCellSpacing w:w="15" w:type="dxa"/>
        </w:trPr>
        <w:tc>
          <w:tcPr>
            <w:tcW w:w="0" w:type="auto"/>
            <w:vAlign w:val="center"/>
            <w:hideMark/>
          </w:tcPr>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Налог на прибыль</w:t>
            </w:r>
          </w:p>
        </w:tc>
        <w:tc>
          <w:tcPr>
            <w:tcW w:w="0" w:type="auto"/>
            <w:vAlign w:val="center"/>
            <w:hideMark/>
          </w:tcPr>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Плательщики налога на прибыль, которые не применяют налоговые разницы, отражают улучшения по правилам бухучета.</w:t>
            </w:r>
          </w:p>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Плательщики налога на прибыль, которые применяют налоговые разницы, ведут налоговый учет согласно ст. 138 НК. В данном случае нужно помнить: поскольку объект ОС используется в хозяйственной деятельности плательщика (можно утверждать, что все объекты ОС, переданные в операционную аренду за плату, используются в хозяйственной деятельности арендодателя), его стоимость в налоговом учете увеличивается на сумму улучшений и налоговая амортизация также определяется с учетом улучшений</w:t>
            </w:r>
          </w:p>
        </w:tc>
      </w:tr>
      <w:tr w:rsidR="004D06E0" w:rsidRPr="004D06E0" w:rsidTr="004D06E0">
        <w:trPr>
          <w:tblCellSpacing w:w="15" w:type="dxa"/>
        </w:trPr>
        <w:tc>
          <w:tcPr>
            <w:tcW w:w="0" w:type="auto"/>
            <w:vAlign w:val="center"/>
            <w:hideMark/>
          </w:tcPr>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НДС</w:t>
            </w:r>
          </w:p>
        </w:tc>
        <w:tc>
          <w:tcPr>
            <w:tcW w:w="0" w:type="auto"/>
            <w:vAlign w:val="center"/>
            <w:hideMark/>
          </w:tcPr>
          <w:p w:rsidR="004D06E0" w:rsidRPr="004D06E0" w:rsidRDefault="004D06E0" w:rsidP="004D06E0">
            <w:pPr>
              <w:spacing w:before="100" w:beforeAutospacing="1" w:after="100" w:afterAutospacing="1" w:line="240" w:lineRule="auto"/>
              <w:rPr>
                <w:rFonts w:ascii="Times New Roman" w:eastAsia="Times New Roman" w:hAnsi="Times New Roman" w:cs="Times New Roman"/>
                <w:sz w:val="24"/>
                <w:szCs w:val="24"/>
                <w:lang w:val="ru-RU" w:eastAsia="ru-RU"/>
              </w:rPr>
            </w:pPr>
            <w:r w:rsidRPr="004D06E0">
              <w:rPr>
                <w:rFonts w:ascii="Times New Roman" w:eastAsia="Times New Roman" w:hAnsi="Times New Roman" w:cs="Times New Roman"/>
                <w:sz w:val="24"/>
                <w:szCs w:val="24"/>
                <w:lang w:val="ru-RU" w:eastAsia="ru-RU"/>
              </w:rPr>
              <w:t>Право на налоговый кредит по улучшениям возникает у арендодателя в общем порядке по правилу первого события – при наличии НН от арендатора, зарегистрированной в ЕРНН (п. 198.2, 198.6 НК)</w:t>
            </w:r>
          </w:p>
        </w:tc>
      </w:tr>
      <w:bookmarkEnd w:id="0"/>
    </w:tbl>
    <w:p w:rsidR="00276DFF" w:rsidRDefault="00276DFF"/>
    <w:sectPr w:rsidR="00276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E0"/>
    <w:rsid w:val="00276DFF"/>
    <w:rsid w:val="004D06E0"/>
    <w:rsid w:val="00E46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39CDF4-8E2C-4729-9952-86C2D322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06E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4D06E0"/>
    <w:rPr>
      <w:b/>
      <w:bCs/>
    </w:rPr>
  </w:style>
  <w:style w:type="character" w:styleId="a5">
    <w:name w:val="Hyperlink"/>
    <w:basedOn w:val="a0"/>
    <w:uiPriority w:val="99"/>
    <w:semiHidden/>
    <w:unhideWhenUsed/>
    <w:rsid w:val="004D06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teka.ua/publication/commerce-12-shkola-bughaltera-prosto-ob-uchete-65-uchet-operacionnoj-arendy-obe-storony-%E2%80%93-yurlica" TargetMode="External"/><Relationship Id="rId4" Type="http://schemas.openxmlformats.org/officeDocument/2006/relationships/hyperlink" Target="https://uteka.ua/publication/commerce-12-shkola-bughaltera-prosto-ob-uchete-65-uchet-remontov-i-uluchshenij-sobstvennyx-osnovnyx-sreds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Н. Шевчук</dc:creator>
  <cp:keywords/>
  <dc:description/>
  <cp:lastModifiedBy>Наталья Н. Шевчук</cp:lastModifiedBy>
  <cp:revision>1</cp:revision>
  <dcterms:created xsi:type="dcterms:W3CDTF">2019-06-27T13:29:00Z</dcterms:created>
  <dcterms:modified xsi:type="dcterms:W3CDTF">2019-06-27T13:29:00Z</dcterms:modified>
</cp:coreProperties>
</file>