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50B06" w:rsidRPr="00750B06" w:rsidTr="00750B06">
        <w:tc>
          <w:tcPr>
            <w:tcW w:w="2000" w:type="pct"/>
            <w:shd w:val="clear" w:color="auto" w:fill="auto"/>
            <w:hideMark/>
          </w:tcPr>
          <w:p w:rsidR="00750B06" w:rsidRPr="00750B06" w:rsidRDefault="00750B06" w:rsidP="00750B06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B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ЗАТВЕРДЖЕНО</w:t>
            </w:r>
            <w:r w:rsidRPr="00750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50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50B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Постанова НКРЕКП</w:t>
            </w:r>
            <w:r w:rsidRPr="00750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50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50B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12.06.2018  № 374</w:t>
            </w:r>
          </w:p>
        </w:tc>
      </w:tr>
    </w:tbl>
    <w:p w:rsidR="00750B06" w:rsidRPr="00750B06" w:rsidRDefault="00750B06" w:rsidP="00750B06">
      <w:pPr>
        <w:shd w:val="clear" w:color="auto" w:fill="FFFFE2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n612"/>
      <w:bookmarkEnd w:id="0"/>
      <w:r w:rsidRPr="00750B0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ІНСТРУКЦІЯ </w:t>
      </w:r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bookmarkStart w:id="1" w:name="_GoBack"/>
      <w:proofErr w:type="spellStart"/>
      <w:r w:rsidRPr="00750B0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щодо</w:t>
      </w:r>
      <w:proofErr w:type="spellEnd"/>
      <w:r w:rsidRPr="00750B0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заповнення</w:t>
      </w:r>
      <w:proofErr w:type="spellEnd"/>
      <w:r w:rsidRPr="00750B0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"http://zakon.rada.gov.ua/laws/show/v0374874-18" \l "n610" </w:instrText>
      </w:r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750B06">
        <w:rPr>
          <w:rFonts w:ascii="Times New Roman" w:eastAsia="Times New Roman" w:hAnsi="Times New Roman" w:cs="Times New Roman"/>
          <w:b/>
          <w:bCs/>
          <w:color w:val="006600"/>
          <w:sz w:val="32"/>
          <w:szCs w:val="32"/>
          <w:u w:val="single"/>
          <w:lang w:eastAsia="ru-RU"/>
        </w:rPr>
        <w:t>форми</w:t>
      </w:r>
      <w:proofErr w:type="spellEnd"/>
      <w:r w:rsidRPr="00750B06">
        <w:rPr>
          <w:rFonts w:ascii="Times New Roman" w:eastAsia="Times New Roman" w:hAnsi="Times New Roman" w:cs="Times New Roman"/>
          <w:b/>
          <w:bCs/>
          <w:color w:val="006600"/>
          <w:sz w:val="32"/>
          <w:szCs w:val="32"/>
          <w:u w:val="single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b/>
          <w:bCs/>
          <w:color w:val="006600"/>
          <w:sz w:val="32"/>
          <w:szCs w:val="32"/>
          <w:u w:val="single"/>
          <w:lang w:eastAsia="ru-RU"/>
        </w:rPr>
        <w:t>звітності</w:t>
      </w:r>
      <w:proofErr w:type="spellEnd"/>
      <w:r w:rsidRPr="00750B06">
        <w:rPr>
          <w:rFonts w:ascii="Times New Roman" w:eastAsia="Times New Roman" w:hAnsi="Times New Roman" w:cs="Times New Roman"/>
          <w:b/>
          <w:bCs/>
          <w:color w:val="006600"/>
          <w:sz w:val="32"/>
          <w:szCs w:val="32"/>
          <w:u w:val="single"/>
          <w:lang w:eastAsia="ru-RU"/>
        </w:rPr>
        <w:t xml:space="preserve"> № 14-НКРЕКП (</w:t>
      </w:r>
      <w:proofErr w:type="spellStart"/>
      <w:r w:rsidRPr="00750B06">
        <w:rPr>
          <w:rFonts w:ascii="Times New Roman" w:eastAsia="Times New Roman" w:hAnsi="Times New Roman" w:cs="Times New Roman"/>
          <w:b/>
          <w:bCs/>
          <w:color w:val="006600"/>
          <w:sz w:val="32"/>
          <w:szCs w:val="32"/>
          <w:u w:val="single"/>
          <w:lang w:eastAsia="ru-RU"/>
        </w:rPr>
        <w:t>річна</w:t>
      </w:r>
      <w:proofErr w:type="spellEnd"/>
      <w:r w:rsidRPr="00750B06">
        <w:rPr>
          <w:rFonts w:ascii="Times New Roman" w:eastAsia="Times New Roman" w:hAnsi="Times New Roman" w:cs="Times New Roman"/>
          <w:b/>
          <w:bCs/>
          <w:color w:val="006600"/>
          <w:sz w:val="32"/>
          <w:szCs w:val="32"/>
          <w:u w:val="single"/>
          <w:lang w:eastAsia="ru-RU"/>
        </w:rPr>
        <w:t>)</w:t>
      </w:r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"/>
      <w:r w:rsidRPr="00750B0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</w:t>
      </w:r>
      <w:proofErr w:type="spellStart"/>
      <w:r w:rsidRPr="00750B0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Звіт</w:t>
      </w:r>
      <w:proofErr w:type="spellEnd"/>
      <w:r w:rsidRPr="00750B0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щодо</w:t>
      </w:r>
      <w:proofErr w:type="spellEnd"/>
      <w:r w:rsidRPr="00750B0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усунення</w:t>
      </w:r>
      <w:proofErr w:type="spellEnd"/>
      <w:r w:rsidRPr="00750B0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причин </w:t>
      </w:r>
      <w:proofErr w:type="spellStart"/>
      <w:r w:rsidRPr="00750B0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незадовільної</w:t>
      </w:r>
      <w:proofErr w:type="spellEnd"/>
      <w:r w:rsidRPr="00750B0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якості</w:t>
      </w:r>
      <w:proofErr w:type="spellEnd"/>
      <w:r w:rsidRPr="00750B0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електричної</w:t>
      </w:r>
      <w:proofErr w:type="spellEnd"/>
      <w:r w:rsidRPr="00750B0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енергії</w:t>
      </w:r>
      <w:proofErr w:type="spellEnd"/>
      <w:r w:rsidRPr="00750B0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за </w:t>
      </w:r>
      <w:proofErr w:type="spellStart"/>
      <w:r w:rsidRPr="00750B0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скаргами</w:t>
      </w:r>
      <w:proofErr w:type="spellEnd"/>
      <w:r w:rsidRPr="00750B0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споживачів</w:t>
      </w:r>
      <w:proofErr w:type="spellEnd"/>
      <w:r w:rsidRPr="00750B0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</w:t>
      </w:r>
    </w:p>
    <w:p w:rsidR="00750B06" w:rsidRPr="00750B06" w:rsidRDefault="00750B06" w:rsidP="00750B06">
      <w:pPr>
        <w:shd w:val="clear" w:color="auto" w:fill="FFFFE2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n613"/>
      <w:bookmarkEnd w:id="2"/>
      <w:r w:rsidRPr="00750B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 </w:t>
      </w:r>
      <w:proofErr w:type="spellStart"/>
      <w:r w:rsidRPr="00750B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Загальні</w:t>
      </w:r>
      <w:proofErr w:type="spellEnd"/>
      <w:r w:rsidRPr="00750B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положення</w:t>
      </w:r>
      <w:proofErr w:type="spellEnd"/>
    </w:p>
    <w:p w:rsidR="00750B06" w:rsidRPr="00750B06" w:rsidRDefault="00750B06" w:rsidP="00750B06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n614"/>
      <w:bookmarkEnd w:id="3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Ця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Інструкція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поширюється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суб'єктів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господарювання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отримали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ліцензію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провадження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господарської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діяльності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розподілу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електричної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енергії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далі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ліцензіат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750B06" w:rsidRPr="00750B06" w:rsidRDefault="00750B06" w:rsidP="00750B06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n615"/>
      <w:bookmarkEnd w:id="4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Ця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Інструкція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визначає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порядок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заповнення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звітності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14-НКРЕКП (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річна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«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Звіт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щодо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усунення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причин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незадовільної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якості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електричної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енергії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скаргами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споживачів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далі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форма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звітності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14-НКРЕКП) та строки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подання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її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НКРЕКП.</w:t>
      </w:r>
    </w:p>
    <w:p w:rsidR="00750B06" w:rsidRPr="00750B06" w:rsidRDefault="00750B06" w:rsidP="00750B06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n616"/>
      <w:bookmarkEnd w:id="5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Ця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Інструкція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розроблена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до:</w:t>
      </w:r>
    </w:p>
    <w:p w:rsidR="00750B06" w:rsidRPr="00750B06" w:rsidRDefault="00750B06" w:rsidP="00750B06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n617"/>
      <w:bookmarkEnd w:id="6"/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законів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4" w:tgtFrame="_blank" w:history="1">
        <w:r w:rsidRPr="00750B06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 xml:space="preserve">«Про </w:t>
        </w:r>
        <w:proofErr w:type="spellStart"/>
        <w:r w:rsidRPr="00750B06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Національну</w:t>
        </w:r>
        <w:proofErr w:type="spellEnd"/>
        <w:r w:rsidRPr="00750B06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750B06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комісію</w:t>
        </w:r>
        <w:proofErr w:type="spellEnd"/>
        <w:r w:rsidRPr="00750B06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 xml:space="preserve">, </w:t>
        </w:r>
        <w:proofErr w:type="spellStart"/>
        <w:r w:rsidRPr="00750B06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що</w:t>
        </w:r>
        <w:proofErr w:type="spellEnd"/>
        <w:r w:rsidRPr="00750B06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750B06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здійснює</w:t>
        </w:r>
        <w:proofErr w:type="spellEnd"/>
        <w:r w:rsidRPr="00750B06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750B06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державне</w:t>
        </w:r>
        <w:proofErr w:type="spellEnd"/>
        <w:r w:rsidRPr="00750B06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750B06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регулювання</w:t>
        </w:r>
        <w:proofErr w:type="spellEnd"/>
        <w:r w:rsidRPr="00750B06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 xml:space="preserve"> у сферах </w:t>
        </w:r>
        <w:proofErr w:type="spellStart"/>
        <w:r w:rsidRPr="00750B06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енергетики</w:t>
        </w:r>
        <w:proofErr w:type="spellEnd"/>
        <w:r w:rsidRPr="00750B06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 xml:space="preserve"> та </w:t>
        </w:r>
        <w:proofErr w:type="spellStart"/>
        <w:r w:rsidRPr="00750B06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комунальних</w:t>
        </w:r>
        <w:proofErr w:type="spellEnd"/>
        <w:r w:rsidRPr="00750B06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750B06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послуг</w:t>
        </w:r>
        <w:proofErr w:type="spellEnd"/>
        <w:r w:rsidRPr="00750B06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»</w:t>
        </w:r>
      </w:hyperlink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5" w:tgtFrame="_blank" w:history="1">
        <w:r w:rsidRPr="00750B06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 xml:space="preserve">«Про </w:t>
        </w:r>
        <w:proofErr w:type="spellStart"/>
        <w:r w:rsidRPr="00750B06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ринок</w:t>
        </w:r>
        <w:proofErr w:type="spellEnd"/>
        <w:r w:rsidRPr="00750B06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750B06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електричної</w:t>
        </w:r>
        <w:proofErr w:type="spellEnd"/>
        <w:r w:rsidRPr="00750B06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750B06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енергії</w:t>
        </w:r>
        <w:proofErr w:type="spellEnd"/>
        <w:r w:rsidRPr="00750B06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»</w:t>
        </w:r>
      </w:hyperlink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bookmarkStart w:id="7" w:name="n618"/>
    <w:bookmarkEnd w:id="7"/>
    <w:p w:rsidR="00750B06" w:rsidRPr="00750B06" w:rsidRDefault="00750B06" w:rsidP="00750B06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"http://zakon.rada.gov.ua/laws/show/v0310874-18" \l "n11" \t "_blank" </w:instrText>
      </w:r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750B06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 xml:space="preserve">Кодексу систем </w:t>
      </w:r>
      <w:proofErr w:type="spellStart"/>
      <w:r w:rsidRPr="00750B06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розподілу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затвердженого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постановою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НКРЕКП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14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березня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2018 року № 310 (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далі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Кодекс систем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розподілу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 </w:t>
      </w:r>
      <w:hyperlink r:id="rId6" w:anchor="n28" w:tgtFrame="_blank" w:history="1">
        <w:r w:rsidRPr="00750B06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 xml:space="preserve">Правил </w:t>
        </w:r>
        <w:proofErr w:type="spellStart"/>
        <w:r w:rsidRPr="00750B06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роздрібного</w:t>
        </w:r>
        <w:proofErr w:type="spellEnd"/>
        <w:r w:rsidRPr="00750B06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 xml:space="preserve"> ринку </w:t>
        </w:r>
        <w:proofErr w:type="spellStart"/>
        <w:r w:rsidRPr="00750B06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електричної</w:t>
        </w:r>
        <w:proofErr w:type="spellEnd"/>
        <w:r w:rsidRPr="00750B06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750B06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енергії</w:t>
        </w:r>
        <w:proofErr w:type="spellEnd"/>
      </w:hyperlink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затверджених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постановою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НКРЕКП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14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березня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2018 року № 312;</w:t>
      </w:r>
    </w:p>
    <w:p w:rsidR="00750B06" w:rsidRPr="00750B06" w:rsidRDefault="00750B06" w:rsidP="00750B06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n619"/>
      <w:bookmarkEnd w:id="8"/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інших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нормативно-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правових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актів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якими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регулюється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ліцензована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діяльність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суб'єктів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господарської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діяльності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розподілу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електричної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енергії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50B06" w:rsidRPr="00750B06" w:rsidRDefault="00750B06" w:rsidP="00750B06">
      <w:pPr>
        <w:shd w:val="clear" w:color="auto" w:fill="FFFFE2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" w:name="n620"/>
      <w:bookmarkEnd w:id="9"/>
      <w:r w:rsidRPr="00750B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Порядок та строки </w:t>
      </w:r>
      <w:proofErr w:type="spellStart"/>
      <w:r w:rsidRPr="00750B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надання</w:t>
      </w:r>
      <w:proofErr w:type="spellEnd"/>
      <w:r w:rsidRPr="00750B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інформації</w:t>
      </w:r>
      <w:proofErr w:type="spellEnd"/>
    </w:p>
    <w:p w:rsidR="00750B06" w:rsidRPr="00750B06" w:rsidRDefault="00750B06" w:rsidP="00750B06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" w:name="n621"/>
      <w:bookmarkEnd w:id="10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Форма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звітності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14-НКРЕКП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подається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ліцензіатом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цілому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суб’єкту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господарювання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50B06" w:rsidRPr="00750B06" w:rsidRDefault="00750B06" w:rsidP="00750B06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" w:name="n622"/>
      <w:bookmarkEnd w:id="11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Форма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звітності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14-НКРЕКП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складається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станом на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останнє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число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звітного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періоду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подається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ліцензіатом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НКРЕКП та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її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територіального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органу за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місцезнаходженням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ліцензіата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пізніше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ніж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через 30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днів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після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звітного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періоду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50B06" w:rsidRPr="00750B06" w:rsidRDefault="00750B06" w:rsidP="00750B06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" w:name="n623"/>
      <w:bookmarkEnd w:id="12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Звітним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періодом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є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рік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50B06" w:rsidRPr="00750B06" w:rsidRDefault="00750B06" w:rsidP="00750B06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" w:name="n624"/>
      <w:bookmarkEnd w:id="13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Звіт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направляється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ліцензіатом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НКРЕКП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поштою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паперових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носіях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в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електронному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вигляді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адресу</w:t>
      </w:r>
      <w:proofErr w:type="gram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sqr@nerc.gov.ua, за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якою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можна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отримати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електронну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форму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звіту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також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її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територіального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органу за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місцезнаходженням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ліцензіата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50B06" w:rsidRPr="00750B06" w:rsidRDefault="00750B06" w:rsidP="00750B06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" w:name="n625"/>
      <w:bookmarkEnd w:id="14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2.5.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Звіт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підписується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керівником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ліцензіата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іншою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уповноваженою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особою. У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звіті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зазначаються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прізвище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ініціали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особи, яка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підписала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звіт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прізвище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виконавця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номер телефону (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зазначенням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коду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міжміського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зв'язку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факсу та адреса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електронної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пошти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50B06" w:rsidRPr="00750B06" w:rsidRDefault="00750B06" w:rsidP="00750B06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5" w:name="n626"/>
      <w:bookmarkEnd w:id="15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2.6. У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разі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внесення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змін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звіту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після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відправлення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ліцензіат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зобов’язаний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терміново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надіслати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НКРЕКП та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її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територіального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органу за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місцезнаходженням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ліцензіата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виправлений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звіт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електронному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вигляді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на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паперових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носіях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підписом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керівника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ліцензіата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іншої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уповноваженої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особи, а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також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лист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зазначенням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причини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внесення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змін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50B06" w:rsidRPr="00750B06" w:rsidRDefault="00750B06" w:rsidP="00750B06">
      <w:pPr>
        <w:shd w:val="clear" w:color="auto" w:fill="FFFFE2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6" w:name="n627"/>
      <w:bookmarkEnd w:id="16"/>
      <w:r w:rsidRPr="00750B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3. Порядок </w:t>
      </w:r>
      <w:proofErr w:type="spellStart"/>
      <w:r w:rsidRPr="00750B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формування</w:t>
      </w:r>
      <w:proofErr w:type="spellEnd"/>
      <w:r w:rsidRPr="00750B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загальної</w:t>
      </w:r>
      <w:proofErr w:type="spellEnd"/>
      <w:r w:rsidRPr="00750B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інформації</w:t>
      </w:r>
      <w:proofErr w:type="spellEnd"/>
      <w:r w:rsidRPr="00750B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750B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пов’язаної</w:t>
      </w:r>
      <w:proofErr w:type="spellEnd"/>
      <w:r w:rsidRPr="00750B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 </w:t>
      </w:r>
      <w:proofErr w:type="spellStart"/>
      <w:r w:rsidRPr="00750B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заповненням</w:t>
      </w:r>
      <w:proofErr w:type="spellEnd"/>
      <w:r w:rsidRPr="00750B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форми</w:t>
      </w:r>
      <w:proofErr w:type="spellEnd"/>
      <w:r w:rsidRPr="00750B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звітності</w:t>
      </w:r>
      <w:proofErr w:type="spellEnd"/>
      <w:r w:rsidRPr="00750B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№ 14-НКРЕКП</w:t>
      </w:r>
    </w:p>
    <w:p w:rsidR="00750B06" w:rsidRPr="00750B06" w:rsidRDefault="00750B06" w:rsidP="00750B06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7" w:name="n628"/>
      <w:bookmarkEnd w:id="17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Кожний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підрозділ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ліцензіата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повинен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забезпечити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ведення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реєстру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скарг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претензій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щодо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незадовільної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якості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електричної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енергії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50B06" w:rsidRPr="00750B06" w:rsidRDefault="00750B06" w:rsidP="00750B06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8" w:name="n629"/>
      <w:bookmarkEnd w:id="18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Реєстр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скарг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претензій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щодо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незадовільної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якості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електричної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енергії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формується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згідно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 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"http://zakon.rada.gov.ua/laws/show/v0374874-18" \l "n667" </w:instrText>
      </w:r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750B06">
        <w:rPr>
          <w:rFonts w:ascii="Times New Roman" w:eastAsia="Times New Roman" w:hAnsi="Times New Roman" w:cs="Times New Roman"/>
          <w:color w:val="006600"/>
          <w:sz w:val="24"/>
          <w:szCs w:val="24"/>
          <w:u w:val="single"/>
          <w:lang w:eastAsia="ru-RU"/>
        </w:rPr>
        <w:t>додатком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до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цієї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Інструкції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50B06" w:rsidRPr="00750B06" w:rsidRDefault="00750B06" w:rsidP="00750B06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9" w:name="n630"/>
      <w:bookmarkEnd w:id="19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графа 1 - № з/п - номер за порядком;</w:t>
      </w:r>
    </w:p>
    <w:p w:rsidR="00750B06" w:rsidRPr="00750B06" w:rsidRDefault="00750B06" w:rsidP="00750B06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0" w:name="n631"/>
      <w:bookmarkEnd w:id="20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графа 2 -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прізвище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ім’я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батькові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найменування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споживача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подав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скаргу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претензію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750B06" w:rsidRPr="00750B06" w:rsidRDefault="00750B06" w:rsidP="00750B06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1" w:name="n632"/>
      <w:bookmarkEnd w:id="21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графа 3 - адреса точки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розподілу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якій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дотримуються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показники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якості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електричної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енергії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скарги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претензії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750B06" w:rsidRPr="00750B06" w:rsidRDefault="00750B06" w:rsidP="00750B06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2" w:name="n633"/>
      <w:bookmarkEnd w:id="22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графа 4 - ІЕС-код;</w:t>
      </w:r>
    </w:p>
    <w:p w:rsidR="00750B06" w:rsidRPr="00750B06" w:rsidRDefault="00750B06" w:rsidP="00750B06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3" w:name="n634"/>
      <w:bookmarkEnd w:id="23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графа 5 - короткий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зміст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скарги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претензії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Указується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короткий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зміст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скарги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претензії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зокрема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параметри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якості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електричної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енергії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значення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яких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 думку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скаржника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не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відповідають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установленим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7" w:anchor="n11" w:tgtFrame="_blank" w:history="1">
        <w:r w:rsidRPr="00750B06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 xml:space="preserve">Кодексом систем </w:t>
        </w:r>
        <w:proofErr w:type="spellStart"/>
        <w:r w:rsidRPr="00750B06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розподілу</w:t>
        </w:r>
        <w:proofErr w:type="spellEnd"/>
      </w:hyperlink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показникам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якості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електричної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енергії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50B06" w:rsidRPr="00750B06" w:rsidRDefault="00750B06" w:rsidP="00750B06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4" w:name="n635"/>
      <w:bookmarkEnd w:id="24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графа 6 - дата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отримання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скарги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претензії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Датою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отримання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скарги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є дата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реєстрації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скарги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ліцензіатом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50B06" w:rsidRPr="00750B06" w:rsidRDefault="00750B06" w:rsidP="00750B06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5" w:name="n636"/>
      <w:bookmarkEnd w:id="25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графа 7 - дата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надання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письмової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відповіді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скаргу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претензію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Датою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надання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письмової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відповіді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скаргу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претензію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є дата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реєстрації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листа-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відповіді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скаргу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претензію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споживача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50B06" w:rsidRPr="00750B06" w:rsidRDefault="00750B06" w:rsidP="00750B06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6" w:name="n637"/>
      <w:bookmarkEnd w:id="26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графа 8 - строк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надання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письмової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відповіді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кількість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календарних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днів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дня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отримання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скарги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претензії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споживача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дня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надання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йому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відповіді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50B06" w:rsidRPr="00750B06" w:rsidRDefault="00750B06" w:rsidP="00750B06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7" w:name="n638"/>
      <w:bookmarkEnd w:id="27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графа 9 - дата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встановлення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вимірювального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засобу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50B06" w:rsidRPr="00750B06" w:rsidRDefault="00750B06" w:rsidP="00750B06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8" w:name="n639"/>
      <w:bookmarkEnd w:id="28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графа 10 - дата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зняття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вимірювального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засобу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50B06" w:rsidRPr="00750B06" w:rsidRDefault="00750B06" w:rsidP="00750B06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9" w:name="n640"/>
      <w:bookmarkEnd w:id="29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графа 11 -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тривалість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вимірювання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різниця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часу у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календарних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днях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датою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встановлення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датою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зняття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вимірювального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засобу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50B06" w:rsidRPr="00750B06" w:rsidRDefault="00750B06" w:rsidP="00750B06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0" w:name="n641"/>
      <w:bookmarkEnd w:id="30"/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Вимірювання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параметрів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якості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електричної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енергії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скаргою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претензією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споживача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вимог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8" w:anchor="n1529" w:tgtFrame="_blank" w:history="1">
        <w:r w:rsidRPr="00750B06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пункту 13.2.4</w:t>
        </w:r>
      </w:hyperlink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глави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13.2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розділу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ХІІІ Кодексу систем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розподілу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проводиться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протягом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календарних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днів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виключенням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часу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тривалості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перерв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електропостачанні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50B06" w:rsidRPr="00750B06" w:rsidRDefault="00750B06" w:rsidP="00750B06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1" w:name="n642"/>
      <w:bookmarkEnd w:id="31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графа 12 -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показники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відповідають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нормативним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значенням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(так/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ні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Указується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«так»,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якщо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результатами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вимірювання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параметри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якості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електричної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енергії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відповідають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показникам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визначеним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9" w:anchor="n11" w:tgtFrame="_blank" w:history="1">
        <w:r w:rsidRPr="00750B06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 xml:space="preserve">Кодексом систем </w:t>
        </w:r>
        <w:proofErr w:type="spellStart"/>
        <w:r w:rsidRPr="00750B06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розподілу</w:t>
        </w:r>
        <w:proofErr w:type="spellEnd"/>
      </w:hyperlink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та «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ні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- в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іншому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випадку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50B06" w:rsidRPr="00750B06" w:rsidRDefault="00750B06" w:rsidP="00750B06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2" w:name="n643"/>
      <w:bookmarkEnd w:id="32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графа 13 - короткий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результатів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аналізу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вимірювання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Указується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стисла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інформація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результати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аналізу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можливих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причин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недотримання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показників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якості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електричної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енергії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результатами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огляду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точці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розподілу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модель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вимірювального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засобу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значення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показників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якості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електричної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енергії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результатами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вимірювання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якщо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такі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проводились,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тощо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50B06" w:rsidRPr="00750B06" w:rsidRDefault="00750B06" w:rsidP="00750B06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3" w:name="n644"/>
      <w:bookmarkEnd w:id="33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графа 14-17 -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обґрунтованість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скарги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претензії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Указується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«х» у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графі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14,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якщо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визнається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факт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недотримання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параметрів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якості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електричної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енергії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та </w:t>
      </w:r>
      <w:proofErr w:type="gram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графах</w:t>
      </w:r>
      <w:proofErr w:type="gram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15-17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причини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відхилення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скарги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якщо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скарга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претензія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визнана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такою,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підлягає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задоволенню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50B06" w:rsidRPr="00750B06" w:rsidRDefault="00750B06" w:rsidP="00750B06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4" w:name="n645"/>
      <w:bookmarkEnd w:id="34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графа 18 -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документи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підтверджують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визнання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скарги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претензії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такою,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підлягає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задоволенню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Указуються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факти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основі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яких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скарга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визнана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такою,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підлягає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задоволенню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документи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підтверджують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порушення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споживачем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вимог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Кодексу систем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розподілу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нормативно-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технічних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документів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внаслідок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чого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параметри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якості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електричної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енергії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точці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розподілу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споживачу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відповідають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параметрам,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визначеним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10" w:anchor="n11" w:tgtFrame="_blank" w:history="1">
        <w:r w:rsidRPr="00750B06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 xml:space="preserve">Кодексом систем </w:t>
        </w:r>
        <w:proofErr w:type="spellStart"/>
        <w:r w:rsidRPr="00750B06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розподілу</w:t>
        </w:r>
        <w:proofErr w:type="spellEnd"/>
      </w:hyperlink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результати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вимірювання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параметрів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якості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електричної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енергії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підтверджують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дотримання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ліцензіатом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нормативних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показників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якості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електричної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енергії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750B06" w:rsidRPr="00750B06" w:rsidRDefault="00750B06" w:rsidP="00750B06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5" w:name="n646"/>
      <w:bookmarkEnd w:id="35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графа 19 - дата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підтвердження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факту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недотримання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показників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якості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електричної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енергії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Указується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дата, коли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ліцензіату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став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відомий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факт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недотримання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показників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якості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електричної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енергії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внаслідок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візиту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споживача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результатами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проведення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вимірювання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дня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отримання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скарги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претензії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споживача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випадку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якщо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ліцензіату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уже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були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відомі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причини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недотримання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показників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якості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електричної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енергії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50B06" w:rsidRPr="00750B06" w:rsidRDefault="00750B06" w:rsidP="00750B06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6" w:name="n647"/>
      <w:bookmarkEnd w:id="36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графа 20 - вид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робіт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необхідних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усунення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причин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незадовільної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якості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електричної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енергії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прості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складні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Вказується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робіт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прості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складні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750B06" w:rsidRPr="00750B06" w:rsidRDefault="00750B06" w:rsidP="00750B06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7" w:name="n648"/>
      <w:bookmarkEnd w:id="37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простих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належать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усунення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причин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недотримання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показників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якості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електричної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енергії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можливо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здійснити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оперативними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діями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персоналу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ліцензіата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Такими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можуть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бути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регулювання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рівня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напруги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трансформаторних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підстанціях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заміна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комутаційних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захисних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апаратів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трансформаторних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підстанціях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профілактичні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заміна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відгалуження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комутаційних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захисних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апаратів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кінцевого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споживача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ремонт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кабельних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повітряних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ліній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заміни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існуючих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елементів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тощо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50B06" w:rsidRPr="00750B06" w:rsidRDefault="00750B06" w:rsidP="00750B06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8" w:name="n649"/>
      <w:bookmarkEnd w:id="38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складних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належать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усунення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причин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недотримання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показників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якості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електричної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енергії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разі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необхідності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проведення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будівельних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робіт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заміни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елементів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електричної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мережі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Такими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можуть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бути: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будівництво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нових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ліній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електропередачі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ділянок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ліній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трансформаторних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підстанцій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заміна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силового трансформатора на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трансформаторній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підстанції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ремонт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кабельних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повітряних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ліній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заміною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існуючих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елементів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50B06" w:rsidRPr="00750B06" w:rsidRDefault="00750B06" w:rsidP="00750B06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9" w:name="n650"/>
      <w:bookmarkEnd w:id="39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графа 21 - дата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усунення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причин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незадовільної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якості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електричної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енергії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законодавства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Указується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визначена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 </w:t>
      </w:r>
      <w:hyperlink r:id="rId11" w:anchor="n1536" w:tgtFrame="_blank" w:history="1">
        <w:r w:rsidRPr="00750B06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пункту 13.2.11</w:t>
        </w:r>
      </w:hyperlink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глави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13.2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розділу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ХІІІ Кодексу систем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розподілу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дата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усунення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причин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недотримання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показників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якості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електричної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енергії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урахуванням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строку 30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днів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разі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можливості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їх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усунення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оперативними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діями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персоналу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ліцензіата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180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днів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разі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необхідності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проведення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будівельних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робіт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заміни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елементів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електричної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мережі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дня,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наступного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днем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підтвердження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факту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недотримання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показників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якості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електричної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енергії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50B06" w:rsidRPr="00750B06" w:rsidRDefault="00750B06" w:rsidP="00750B06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0" w:name="n651"/>
      <w:bookmarkEnd w:id="40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графа 22 -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фактична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дата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усунення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причин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незадовільної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якості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електричної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енергії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Зафіксована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дата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приведення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параметрів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якості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електричної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енергії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відповідність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визначених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12" w:anchor="n11" w:tgtFrame="_blank" w:history="1">
        <w:r w:rsidRPr="00750B06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 xml:space="preserve">Кодексом систем </w:t>
        </w:r>
        <w:proofErr w:type="spellStart"/>
        <w:r w:rsidRPr="00750B06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розподілу</w:t>
        </w:r>
        <w:proofErr w:type="spellEnd"/>
      </w:hyperlink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показників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50B06" w:rsidRPr="00750B06" w:rsidRDefault="00750B06" w:rsidP="00750B06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1" w:name="n652"/>
      <w:bookmarkEnd w:id="41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графа 23 -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тривалість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усунення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причин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незадовільної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якості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електричної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енергії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різниця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часу у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календарних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днях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фактичною датою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усунення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причин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незадовільної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якості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електричної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енергії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датою,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наступною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датою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підтвердження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факту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недотримання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показників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якості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електричної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енергії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50B06" w:rsidRPr="00750B06" w:rsidRDefault="00750B06" w:rsidP="00750B06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2" w:name="n653"/>
      <w:bookmarkEnd w:id="42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графа 24 -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інформація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виконані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Указується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стисла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інформація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проведені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щодо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усунення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причин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незадовільної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якості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електричної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енергії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50B06" w:rsidRPr="00750B06" w:rsidRDefault="00750B06" w:rsidP="00750B06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3" w:name="n654"/>
      <w:bookmarkEnd w:id="43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графа 25 - дата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надання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інформації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споживачу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проведені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дата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реєстрації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листа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споживачу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інформуванням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усунення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причин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незадовільної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якості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електричної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енергії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проведені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50B06" w:rsidRPr="00750B06" w:rsidRDefault="00750B06" w:rsidP="00750B06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4" w:name="n655"/>
      <w:bookmarkEnd w:id="44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графа 26 -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скарга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претензія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вирішена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(так/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ні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Указується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«так»,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якщо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станом на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кінець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звітного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року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скарга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претензія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визнана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такою,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підлягає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задоволенню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усунені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причини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незадовільної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якості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електричної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енергії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інформуванням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споживача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50B06" w:rsidRPr="00750B06" w:rsidRDefault="00750B06" w:rsidP="00750B06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5" w:name="n656"/>
      <w:bookmarkEnd w:id="45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 При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відмові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споживача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поданої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скарги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претензії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після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її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реєстрації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графі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додатка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цієї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Інструкції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вказується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дата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письмової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відмови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споживача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скарги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цьому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графі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17 ставиться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відмітка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відмову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споживача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скарги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претензії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750B06" w:rsidRPr="00750B06" w:rsidRDefault="00750B06" w:rsidP="00750B06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6" w:name="n657"/>
      <w:bookmarkEnd w:id="46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3.4.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Скарги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претензії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кінець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звітного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року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залишаються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невирішеними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дублюються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реєстрі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скарг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претензій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щодо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незадовільної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якості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електричної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енергії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наступного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року.</w:t>
      </w:r>
    </w:p>
    <w:p w:rsidR="00750B06" w:rsidRPr="00750B06" w:rsidRDefault="00750B06" w:rsidP="00750B06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7" w:name="n658"/>
      <w:bookmarkEnd w:id="47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3.5.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Реєстри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скарг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претензій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щодо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незадовільної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якості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електричної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енергії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подаються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електронному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вигляді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НКРЕКП </w:t>
      </w:r>
      <w:proofErr w:type="gram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адресу</w:t>
      </w:r>
      <w:proofErr w:type="gram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sqr@nerc.gov.ua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щомісяця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накопичувальним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підсумком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пізніше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30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днів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після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завершення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звітного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місяця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50B06" w:rsidRPr="00750B06" w:rsidRDefault="00750B06" w:rsidP="00750B06">
      <w:pPr>
        <w:shd w:val="clear" w:color="auto" w:fill="FFFFE2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8" w:name="n659"/>
      <w:bookmarkEnd w:id="48"/>
      <w:r w:rsidRPr="00750B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 </w:t>
      </w:r>
      <w:proofErr w:type="spellStart"/>
      <w:r w:rsidRPr="00750B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Пояснення</w:t>
      </w:r>
      <w:proofErr w:type="spellEnd"/>
      <w:r w:rsidRPr="00750B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щодо</w:t>
      </w:r>
      <w:proofErr w:type="spellEnd"/>
      <w:r w:rsidRPr="00750B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заповнення</w:t>
      </w:r>
      <w:proofErr w:type="spellEnd"/>
      <w:r w:rsidRPr="00750B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форми</w:t>
      </w:r>
      <w:proofErr w:type="spellEnd"/>
      <w:r w:rsidRPr="00750B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звітності</w:t>
      </w:r>
      <w:proofErr w:type="spellEnd"/>
      <w:r w:rsidRPr="00750B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№ 14-НКРЕКП</w:t>
      </w:r>
    </w:p>
    <w:p w:rsidR="00750B06" w:rsidRPr="00750B06" w:rsidRDefault="00750B06" w:rsidP="00750B06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9" w:name="n660"/>
      <w:bookmarkEnd w:id="49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Інформація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заповнення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звітності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14-НКРЕКП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формується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підставі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даних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додатка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цієї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Інструкції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50B06" w:rsidRPr="00750B06" w:rsidRDefault="00750B06" w:rsidP="00750B06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0" w:name="n661"/>
      <w:bookmarkEnd w:id="50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Зв'язок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рядків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граф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звітності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14-НКРЕКП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визначається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таблиці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1.</w:t>
      </w:r>
    </w:p>
    <w:p w:rsidR="00750B06" w:rsidRPr="00750B06" w:rsidRDefault="00750B06" w:rsidP="00750B06">
      <w:pPr>
        <w:shd w:val="clear" w:color="auto" w:fill="FFFFE2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1" w:name="n662"/>
      <w:bookmarkEnd w:id="51"/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Позначення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ф. г - графа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звітності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ф. р - рядок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звітності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д1. г - графа </w:t>
      </w:r>
      <w:proofErr w:type="spellStart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додатка</w:t>
      </w:r>
      <w:proofErr w:type="spellEnd"/>
      <w:r w:rsidRPr="00750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1.</w:t>
      </w:r>
    </w:p>
    <w:p w:rsidR="000837AE" w:rsidRDefault="00750B06"/>
    <w:p w:rsidR="00750B06" w:rsidRDefault="00750B06"/>
    <w:p w:rsidR="00750B06" w:rsidRPr="00750B06" w:rsidRDefault="00750B06" w:rsidP="00750B0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50B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Таблиця 1</w:t>
      </w:r>
    </w:p>
    <w:p w:rsidR="00750B06" w:rsidRPr="00750B06" w:rsidRDefault="00750B06" w:rsidP="00750B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50B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Зв’язок рядків і граф форми звітності № 14-НКРЕКП</w:t>
      </w:r>
    </w:p>
    <w:p w:rsidR="00750B06" w:rsidRPr="00750B06" w:rsidRDefault="00750B06" w:rsidP="00750B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8"/>
        <w:gridCol w:w="632"/>
        <w:gridCol w:w="4139"/>
        <w:gridCol w:w="4394"/>
      </w:tblGrid>
      <w:tr w:rsidR="00750B06" w:rsidRPr="00750B06" w:rsidTr="00794405">
        <w:tc>
          <w:tcPr>
            <w:tcW w:w="1135" w:type="dxa"/>
            <w:gridSpan w:val="2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FFFFFF"/>
          </w:tcPr>
          <w:p w:rsidR="00750B06" w:rsidRPr="00750B06" w:rsidRDefault="00750B06" w:rsidP="00750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072" w:type="dxa"/>
            <w:gridSpan w:val="2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0B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Графи форми</w:t>
            </w:r>
          </w:p>
        </w:tc>
      </w:tr>
      <w:tr w:rsidR="00750B06" w:rsidRPr="00750B06" w:rsidTr="00794405">
        <w:tc>
          <w:tcPr>
            <w:tcW w:w="1135" w:type="dxa"/>
            <w:gridSpan w:val="2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FFFFFF"/>
          </w:tcPr>
          <w:p w:rsidR="00750B06" w:rsidRPr="00750B06" w:rsidRDefault="00750B06" w:rsidP="00750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0B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010 – 020 (скарги, отримані у звітному та в минулі періоди відповідно)</w:t>
            </w:r>
          </w:p>
        </w:tc>
        <w:tc>
          <w:tcPr>
            <w:tcW w:w="4678" w:type="dxa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B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030</w:t>
            </w:r>
          </w:p>
        </w:tc>
      </w:tr>
      <w:tr w:rsidR="00750B06" w:rsidRPr="00750B06" w:rsidTr="00794405">
        <w:tc>
          <w:tcPr>
            <w:tcW w:w="498" w:type="dxa"/>
            <w:vMerge w:val="restart"/>
            <w:textDirection w:val="btLr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Рядки </w:t>
            </w:r>
            <w:proofErr w:type="spellStart"/>
            <w:r w:rsidRPr="00750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</w:t>
            </w:r>
            <w:proofErr w:type="spellEnd"/>
          </w:p>
        </w:tc>
        <w:tc>
          <w:tcPr>
            <w:tcW w:w="637" w:type="dxa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0B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010</w:t>
            </w:r>
          </w:p>
        </w:tc>
        <w:tc>
          <w:tcPr>
            <w:tcW w:w="4394" w:type="dxa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0B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Сумарна кількість значень у д1. г6 </w:t>
            </w:r>
          </w:p>
        </w:tc>
        <w:tc>
          <w:tcPr>
            <w:tcW w:w="4678" w:type="dxa"/>
            <w:tcBorders>
              <w:tl2br w:val="single" w:sz="4" w:space="0" w:color="auto"/>
              <w:tr2bl w:val="single" w:sz="4" w:space="0" w:color="auto"/>
            </w:tcBorders>
          </w:tcPr>
          <w:p w:rsidR="00750B06" w:rsidRPr="00750B06" w:rsidRDefault="00750B06" w:rsidP="00750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B06" w:rsidRPr="00750B06" w:rsidTr="00794405">
        <w:tc>
          <w:tcPr>
            <w:tcW w:w="498" w:type="dxa"/>
            <w:vMerge/>
          </w:tcPr>
          <w:p w:rsidR="00750B06" w:rsidRPr="00750B06" w:rsidRDefault="00750B06" w:rsidP="00750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" w:type="dxa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0B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015</w:t>
            </w:r>
          </w:p>
        </w:tc>
        <w:tc>
          <w:tcPr>
            <w:tcW w:w="4394" w:type="dxa"/>
            <w:tcBorders>
              <w:tl2br w:val="single" w:sz="4" w:space="0" w:color="auto"/>
              <w:tr2bl w:val="single" w:sz="4" w:space="0" w:color="auto"/>
            </w:tcBorders>
          </w:tcPr>
          <w:p w:rsidR="00750B06" w:rsidRPr="00750B06" w:rsidRDefault="00750B06" w:rsidP="00750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l2br w:val="single" w:sz="4" w:space="0" w:color="auto"/>
              <w:tr2bl w:val="single" w:sz="4" w:space="0" w:color="auto"/>
            </w:tcBorders>
          </w:tcPr>
          <w:p w:rsidR="00750B06" w:rsidRPr="00750B06" w:rsidRDefault="00750B06" w:rsidP="00750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B06" w:rsidRPr="00750B06" w:rsidTr="00794405">
        <w:tc>
          <w:tcPr>
            <w:tcW w:w="498" w:type="dxa"/>
            <w:vMerge/>
          </w:tcPr>
          <w:p w:rsidR="00750B06" w:rsidRPr="00750B06" w:rsidRDefault="00750B06" w:rsidP="00750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" w:type="dxa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0B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020</w:t>
            </w:r>
          </w:p>
        </w:tc>
        <w:tc>
          <w:tcPr>
            <w:tcW w:w="4394" w:type="dxa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0B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Сумарна кількість значень у д1. г14 </w:t>
            </w:r>
          </w:p>
        </w:tc>
        <w:tc>
          <w:tcPr>
            <w:tcW w:w="4678" w:type="dxa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0B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(г010. р020+г020. р020)/ (г010. р010+г020. р010)*100 %</w:t>
            </w:r>
          </w:p>
        </w:tc>
      </w:tr>
      <w:tr w:rsidR="00750B06" w:rsidRPr="00750B06" w:rsidTr="00794405">
        <w:tc>
          <w:tcPr>
            <w:tcW w:w="498" w:type="dxa"/>
            <w:vMerge/>
          </w:tcPr>
          <w:p w:rsidR="00750B06" w:rsidRPr="00750B06" w:rsidRDefault="00750B06" w:rsidP="00750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" w:type="dxa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0B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025</w:t>
            </w:r>
          </w:p>
        </w:tc>
        <w:tc>
          <w:tcPr>
            <w:tcW w:w="4394" w:type="dxa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0B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р030 + р035 + р040</w:t>
            </w:r>
          </w:p>
        </w:tc>
        <w:tc>
          <w:tcPr>
            <w:tcW w:w="4678" w:type="dxa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B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(г010. р025+г020. р025)/ (г010. р010+г020. р010)*100 %</w:t>
            </w:r>
          </w:p>
        </w:tc>
      </w:tr>
      <w:tr w:rsidR="00750B06" w:rsidRPr="00750B06" w:rsidTr="00794405">
        <w:tc>
          <w:tcPr>
            <w:tcW w:w="498" w:type="dxa"/>
            <w:vMerge/>
          </w:tcPr>
          <w:p w:rsidR="00750B06" w:rsidRPr="00750B06" w:rsidRDefault="00750B06" w:rsidP="00750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" w:type="dxa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0B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030</w:t>
            </w:r>
          </w:p>
        </w:tc>
        <w:tc>
          <w:tcPr>
            <w:tcW w:w="4394" w:type="dxa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B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Сумарна кількість значень у д1. г15</w:t>
            </w:r>
          </w:p>
        </w:tc>
        <w:tc>
          <w:tcPr>
            <w:tcW w:w="4678" w:type="dxa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0B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(г010. р030+г020. р030)/ (г010. р025+г020. р025)*100 %</w:t>
            </w:r>
          </w:p>
        </w:tc>
      </w:tr>
      <w:tr w:rsidR="00750B06" w:rsidRPr="00750B06" w:rsidTr="00794405">
        <w:tc>
          <w:tcPr>
            <w:tcW w:w="498" w:type="dxa"/>
            <w:vMerge/>
          </w:tcPr>
          <w:p w:rsidR="00750B06" w:rsidRPr="00750B06" w:rsidRDefault="00750B06" w:rsidP="00750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" w:type="dxa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0B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035</w:t>
            </w:r>
          </w:p>
        </w:tc>
        <w:tc>
          <w:tcPr>
            <w:tcW w:w="4394" w:type="dxa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B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Сумарна кількість значень у д1. г16</w:t>
            </w:r>
          </w:p>
        </w:tc>
        <w:tc>
          <w:tcPr>
            <w:tcW w:w="4678" w:type="dxa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B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(г010. р035+г020. р035)/ (г010. р025+г020. р025)*100 %</w:t>
            </w:r>
          </w:p>
        </w:tc>
      </w:tr>
      <w:tr w:rsidR="00750B06" w:rsidRPr="00750B06" w:rsidTr="00794405">
        <w:tc>
          <w:tcPr>
            <w:tcW w:w="498" w:type="dxa"/>
            <w:vMerge/>
          </w:tcPr>
          <w:p w:rsidR="00750B06" w:rsidRPr="00750B06" w:rsidRDefault="00750B06" w:rsidP="00750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" w:type="dxa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0B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040</w:t>
            </w:r>
          </w:p>
        </w:tc>
        <w:tc>
          <w:tcPr>
            <w:tcW w:w="4394" w:type="dxa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0B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Сумарна кількість значень у д1. г17</w:t>
            </w:r>
          </w:p>
        </w:tc>
        <w:tc>
          <w:tcPr>
            <w:tcW w:w="4678" w:type="dxa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0B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(г010. р040+г020. р040)/ (г010. р025+г020. р025)*100 %</w:t>
            </w:r>
          </w:p>
        </w:tc>
      </w:tr>
      <w:tr w:rsidR="00750B06" w:rsidRPr="00750B06" w:rsidTr="00794405">
        <w:tc>
          <w:tcPr>
            <w:tcW w:w="498" w:type="dxa"/>
            <w:vMerge/>
          </w:tcPr>
          <w:p w:rsidR="00750B06" w:rsidRPr="00750B06" w:rsidRDefault="00750B06" w:rsidP="00750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37" w:type="dxa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0B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045</w:t>
            </w:r>
          </w:p>
        </w:tc>
        <w:tc>
          <w:tcPr>
            <w:tcW w:w="4394" w:type="dxa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0B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Сумарна кількість значень у д1. г12</w:t>
            </w:r>
          </w:p>
        </w:tc>
        <w:tc>
          <w:tcPr>
            <w:tcW w:w="4678" w:type="dxa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0B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(г010. р045+г020. р045)/ (г010. р010+г020. р010)*100 %</w:t>
            </w:r>
          </w:p>
        </w:tc>
      </w:tr>
      <w:tr w:rsidR="00750B06" w:rsidRPr="00750B06" w:rsidTr="00794405">
        <w:tc>
          <w:tcPr>
            <w:tcW w:w="498" w:type="dxa"/>
            <w:vMerge/>
          </w:tcPr>
          <w:p w:rsidR="00750B06" w:rsidRPr="00750B06" w:rsidRDefault="00750B06" w:rsidP="00750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37" w:type="dxa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0B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050</w:t>
            </w:r>
          </w:p>
        </w:tc>
        <w:tc>
          <w:tcPr>
            <w:tcW w:w="4394" w:type="dxa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0B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р045 – р035</w:t>
            </w:r>
          </w:p>
        </w:tc>
        <w:tc>
          <w:tcPr>
            <w:tcW w:w="4678" w:type="dxa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B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(г010. р050+г020. р050)/ (г010. р045+г020. р045)*100 %</w:t>
            </w:r>
          </w:p>
        </w:tc>
      </w:tr>
      <w:tr w:rsidR="00750B06" w:rsidRPr="00750B06" w:rsidTr="00794405">
        <w:tc>
          <w:tcPr>
            <w:tcW w:w="498" w:type="dxa"/>
            <w:vMerge/>
          </w:tcPr>
          <w:p w:rsidR="00750B06" w:rsidRPr="00750B06" w:rsidRDefault="00750B06" w:rsidP="00750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" w:type="dxa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0B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055</w:t>
            </w:r>
          </w:p>
        </w:tc>
        <w:tc>
          <w:tcPr>
            <w:tcW w:w="4394" w:type="dxa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B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р060 + р070</w:t>
            </w:r>
          </w:p>
        </w:tc>
        <w:tc>
          <w:tcPr>
            <w:tcW w:w="4678" w:type="dxa"/>
            <w:tcBorders>
              <w:left w:val="nil"/>
            </w:tcBorders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0B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(г010. р055+г020. р055)/</w:t>
            </w:r>
          </w:p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B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[(г010. р010+г020. р010)- (г010. р080+г020. р080) ]*100 %</w:t>
            </w:r>
          </w:p>
        </w:tc>
      </w:tr>
      <w:tr w:rsidR="00750B06" w:rsidRPr="00750B06" w:rsidTr="00794405">
        <w:tc>
          <w:tcPr>
            <w:tcW w:w="498" w:type="dxa"/>
            <w:vMerge/>
          </w:tcPr>
          <w:p w:rsidR="00750B06" w:rsidRPr="00750B06" w:rsidRDefault="00750B06" w:rsidP="00750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" w:type="dxa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0B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060</w:t>
            </w:r>
          </w:p>
        </w:tc>
        <w:tc>
          <w:tcPr>
            <w:tcW w:w="4394" w:type="dxa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B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Сумарна кількість значень «прості» у д1. г20 </w:t>
            </w:r>
          </w:p>
        </w:tc>
        <w:tc>
          <w:tcPr>
            <w:tcW w:w="4678" w:type="dxa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B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(г010. р060+г020. р060)/ (г010. р055+г020. р055)*100 %</w:t>
            </w:r>
          </w:p>
        </w:tc>
      </w:tr>
      <w:tr w:rsidR="00750B06" w:rsidRPr="00750B06" w:rsidTr="00794405">
        <w:tc>
          <w:tcPr>
            <w:tcW w:w="498" w:type="dxa"/>
            <w:vMerge/>
          </w:tcPr>
          <w:p w:rsidR="00750B06" w:rsidRPr="00750B06" w:rsidRDefault="00750B06" w:rsidP="00750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" w:type="dxa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0B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065</w:t>
            </w:r>
          </w:p>
        </w:tc>
        <w:tc>
          <w:tcPr>
            <w:tcW w:w="4394" w:type="dxa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0B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Сумарна кількість значень «прості» у д1. г20, якщо д1. г23 &gt; 30</w:t>
            </w:r>
          </w:p>
        </w:tc>
        <w:tc>
          <w:tcPr>
            <w:tcW w:w="4678" w:type="dxa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0B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(г010. р065+г020. р065)/ (г010. р060+г020. р060)*100 %</w:t>
            </w:r>
          </w:p>
        </w:tc>
      </w:tr>
      <w:tr w:rsidR="00750B06" w:rsidRPr="00750B06" w:rsidTr="00794405">
        <w:tc>
          <w:tcPr>
            <w:tcW w:w="498" w:type="dxa"/>
            <w:vMerge/>
          </w:tcPr>
          <w:p w:rsidR="00750B06" w:rsidRPr="00750B06" w:rsidRDefault="00750B06" w:rsidP="00750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37" w:type="dxa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0B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070</w:t>
            </w:r>
          </w:p>
        </w:tc>
        <w:tc>
          <w:tcPr>
            <w:tcW w:w="4394" w:type="dxa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B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Сумарна кількість значень «складні» у д1. г20 </w:t>
            </w:r>
          </w:p>
        </w:tc>
        <w:tc>
          <w:tcPr>
            <w:tcW w:w="4678" w:type="dxa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B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(г010. р070+г020. р070)/ (г010. р055+г020. р055)*100 %</w:t>
            </w:r>
          </w:p>
        </w:tc>
      </w:tr>
      <w:tr w:rsidR="00750B06" w:rsidRPr="00750B06" w:rsidTr="00794405">
        <w:tc>
          <w:tcPr>
            <w:tcW w:w="498" w:type="dxa"/>
            <w:vMerge/>
          </w:tcPr>
          <w:p w:rsidR="00750B06" w:rsidRPr="00750B06" w:rsidRDefault="00750B06" w:rsidP="00750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" w:type="dxa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0B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075</w:t>
            </w:r>
          </w:p>
        </w:tc>
        <w:tc>
          <w:tcPr>
            <w:tcW w:w="4394" w:type="dxa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0B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Сумарна кількість значень «складні» у д1. г20, якщо д1. г23 &gt; 180</w:t>
            </w:r>
          </w:p>
        </w:tc>
        <w:tc>
          <w:tcPr>
            <w:tcW w:w="4678" w:type="dxa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0B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(г010. р075+г020. р075)/ (г010. р070+г020. р070)*100 %</w:t>
            </w:r>
          </w:p>
        </w:tc>
      </w:tr>
      <w:tr w:rsidR="00750B06" w:rsidRPr="00750B06" w:rsidTr="00794405">
        <w:tc>
          <w:tcPr>
            <w:tcW w:w="498" w:type="dxa"/>
            <w:vMerge/>
          </w:tcPr>
          <w:p w:rsidR="00750B06" w:rsidRPr="00750B06" w:rsidRDefault="00750B06" w:rsidP="00750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37" w:type="dxa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0B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080</w:t>
            </w:r>
          </w:p>
        </w:tc>
        <w:tc>
          <w:tcPr>
            <w:tcW w:w="4394" w:type="dxa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B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Сумарна кількість значень «ні» у д1. г26</w:t>
            </w:r>
          </w:p>
        </w:tc>
        <w:tc>
          <w:tcPr>
            <w:tcW w:w="4678" w:type="dxa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B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(г010. р080+г020. р080)/ (г010. р010+г020. р010)*100 %</w:t>
            </w:r>
          </w:p>
        </w:tc>
      </w:tr>
    </w:tbl>
    <w:p w:rsidR="00750B06" w:rsidRPr="00750B06" w:rsidRDefault="00750B06" w:rsidP="00750B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50B06" w:rsidRDefault="00750B06" w:rsidP="00750B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B06" w:rsidRDefault="00750B06" w:rsidP="00750B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B06" w:rsidRDefault="00750B06" w:rsidP="00750B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B06" w:rsidRDefault="00750B06" w:rsidP="00750B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B06" w:rsidRDefault="00750B06" w:rsidP="00750B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B06" w:rsidRDefault="00750B06" w:rsidP="00750B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B06" w:rsidRDefault="00750B06" w:rsidP="00750B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B06" w:rsidRDefault="00750B06" w:rsidP="00750B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B06" w:rsidRDefault="00750B06" w:rsidP="00750B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B06" w:rsidRDefault="00750B06" w:rsidP="00750B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B06" w:rsidRDefault="00750B06" w:rsidP="00750B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B06" w:rsidRDefault="00750B06" w:rsidP="00750B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B06" w:rsidRDefault="00750B06" w:rsidP="00750B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B06" w:rsidRDefault="00750B06" w:rsidP="00750B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B06" w:rsidRDefault="00750B06" w:rsidP="00750B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B06" w:rsidRDefault="00750B06" w:rsidP="00750B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B06" w:rsidRDefault="00750B06" w:rsidP="00750B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B06" w:rsidRDefault="00750B06" w:rsidP="00750B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B06" w:rsidRDefault="00750B06" w:rsidP="00750B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B06" w:rsidRDefault="00750B06" w:rsidP="00750B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B06" w:rsidRDefault="00750B06" w:rsidP="00750B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B06" w:rsidRDefault="00750B06" w:rsidP="00750B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B06" w:rsidRDefault="00750B06" w:rsidP="00750B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B06" w:rsidRDefault="00750B06" w:rsidP="00750B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B06" w:rsidRDefault="00750B06" w:rsidP="00750B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B06" w:rsidRDefault="00750B06" w:rsidP="00750B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B06" w:rsidRDefault="00750B06" w:rsidP="00750B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B06" w:rsidRDefault="00750B06" w:rsidP="00750B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B06" w:rsidRDefault="00750B06" w:rsidP="00750B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B06" w:rsidRDefault="00750B06" w:rsidP="00750B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B06" w:rsidRDefault="00750B06" w:rsidP="00750B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B06" w:rsidRDefault="00750B06" w:rsidP="00750B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B06" w:rsidRDefault="00750B06" w:rsidP="00750B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B06" w:rsidRDefault="00750B06" w:rsidP="00750B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B06" w:rsidRDefault="00750B06" w:rsidP="00750B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B06" w:rsidRDefault="00750B06" w:rsidP="00750B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50B0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50B06" w:rsidRPr="00750B06" w:rsidRDefault="00750B06" w:rsidP="00750B06">
      <w:pPr>
        <w:spacing w:after="0" w:line="240" w:lineRule="auto"/>
        <w:ind w:left="70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50B06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lastRenderedPageBreak/>
        <w:t>Додаток</w:t>
      </w:r>
      <w:r w:rsidRPr="00750B06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br/>
        <w:t xml:space="preserve">до Інструкції щодо заповнення форми звітності </w:t>
      </w:r>
      <w:r w:rsidRPr="00750B06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br/>
        <w:t xml:space="preserve">№ 14-НКРЕКП (річна) «Звіт щодо усунення причин </w:t>
      </w:r>
      <w:r w:rsidRPr="00750B06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br/>
        <w:t>незадовільної якості електричної енергії за скаргами споживачів»</w:t>
      </w:r>
    </w:p>
    <w:p w:rsidR="00750B06" w:rsidRPr="00750B06" w:rsidRDefault="00750B06" w:rsidP="00750B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50B06" w:rsidRPr="00750B06" w:rsidRDefault="00750B06" w:rsidP="00750B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50B06" w:rsidRPr="00750B06" w:rsidRDefault="00750B06" w:rsidP="00750B06">
      <w:pPr>
        <w:spacing w:after="0" w:line="240" w:lineRule="auto"/>
        <w:ind w:left="3402" w:right="25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50B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Реєстр скарг (претензій) щодо незадовільної якості електричної енергії</w:t>
      </w:r>
    </w:p>
    <w:p w:rsidR="00750B06" w:rsidRPr="00750B06" w:rsidRDefault="00750B06" w:rsidP="00750B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50B06" w:rsidRPr="00750B06" w:rsidRDefault="00750B06" w:rsidP="00750B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pPr w:leftFromText="180" w:rightFromText="180" w:vertAnchor="text" w:tblpXSpec="center" w:tblpY="1"/>
        <w:tblOverlap w:val="never"/>
        <w:tblW w:w="14000" w:type="dxa"/>
        <w:tblLayout w:type="fixed"/>
        <w:tblLook w:val="00A0" w:firstRow="1" w:lastRow="0" w:firstColumn="1" w:lastColumn="0" w:noHBand="0" w:noVBand="0"/>
      </w:tblPr>
      <w:tblGrid>
        <w:gridCol w:w="392"/>
        <w:gridCol w:w="283"/>
        <w:gridCol w:w="284"/>
        <w:gridCol w:w="283"/>
        <w:gridCol w:w="284"/>
        <w:gridCol w:w="567"/>
        <w:gridCol w:w="567"/>
        <w:gridCol w:w="283"/>
        <w:gridCol w:w="567"/>
        <w:gridCol w:w="567"/>
        <w:gridCol w:w="567"/>
        <w:gridCol w:w="567"/>
        <w:gridCol w:w="567"/>
        <w:gridCol w:w="426"/>
        <w:gridCol w:w="567"/>
        <w:gridCol w:w="708"/>
        <w:gridCol w:w="567"/>
        <w:gridCol w:w="567"/>
        <w:gridCol w:w="851"/>
        <w:gridCol w:w="709"/>
        <w:gridCol w:w="708"/>
        <w:gridCol w:w="851"/>
        <w:gridCol w:w="567"/>
        <w:gridCol w:w="425"/>
        <w:gridCol w:w="567"/>
        <w:gridCol w:w="709"/>
      </w:tblGrid>
      <w:tr w:rsidR="00750B06" w:rsidRPr="00750B06" w:rsidTr="00794405">
        <w:trPr>
          <w:trHeight w:val="703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50B06" w:rsidRPr="00750B06" w:rsidRDefault="00750B06" w:rsidP="00750B0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uk-UA"/>
              </w:rPr>
            </w:pPr>
            <w:r w:rsidRPr="00750B06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  <w:t>№ з/п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0B06" w:rsidRPr="00750B06" w:rsidRDefault="00750B06" w:rsidP="00750B0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</w:pPr>
            <w:r w:rsidRPr="00750B06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  <w:t>Прізвище, ім’я, по батькові (найменування) споживача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0B06" w:rsidRPr="00750B06" w:rsidRDefault="00750B06" w:rsidP="00750B0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</w:pPr>
            <w:r w:rsidRPr="00750B06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  <w:t>Адреса точки розподілу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0B06" w:rsidRPr="00750B06" w:rsidRDefault="00750B06" w:rsidP="00750B0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</w:pPr>
            <w:r w:rsidRPr="00750B06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  <w:t>IEC-код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0B06" w:rsidRPr="00750B06" w:rsidRDefault="00750B06" w:rsidP="00750B0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</w:pPr>
            <w:r w:rsidRPr="00750B06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  <w:t>Короткий зміст скарги (претензії)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</w:pPr>
            <w:r w:rsidRPr="00750B06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  <w:t>Надання відповіді на скаргу (претензію)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</w:pPr>
            <w:r w:rsidRPr="00750B06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  <w:t>Вимірювання параметрів якості</w:t>
            </w:r>
            <w:r w:rsidRPr="00750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0B06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  <w:t>електричної енергії</w:t>
            </w:r>
          </w:p>
        </w:tc>
        <w:tc>
          <w:tcPr>
            <w:tcW w:w="42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</w:pPr>
            <w:r w:rsidRPr="00750B06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  <w:t>Результати розгляду скарги (претензії)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</w:pPr>
            <w:r w:rsidRPr="00750B06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  <w:t xml:space="preserve">Усунення причин незадовільної якості </w:t>
            </w:r>
            <w:r w:rsidRPr="00750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0B06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  <w:t>електричної енергії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</w:pPr>
            <w:r w:rsidRPr="00750B06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  <w:t xml:space="preserve">Дата надання інформації споживачу про виконані роботи </w:t>
            </w:r>
          </w:p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</w:pPr>
            <w:proofErr w:type="spellStart"/>
            <w:r w:rsidRPr="00750B06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  <w:t>дд.мм.рррр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</w:pPr>
            <w:r w:rsidRPr="00750B06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  <w:t xml:space="preserve">Скарга (претензія) вирішена </w:t>
            </w:r>
          </w:p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</w:pPr>
            <w:r w:rsidRPr="00750B06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  <w:t>(так/ні)</w:t>
            </w:r>
          </w:p>
        </w:tc>
      </w:tr>
      <w:tr w:rsidR="00750B06" w:rsidRPr="00750B06" w:rsidTr="00794405">
        <w:trPr>
          <w:trHeight w:val="466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B06" w:rsidRPr="00750B06" w:rsidRDefault="00750B06" w:rsidP="00750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B06" w:rsidRPr="00750B06" w:rsidRDefault="00750B06" w:rsidP="00750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B06" w:rsidRPr="00750B06" w:rsidRDefault="00750B06" w:rsidP="00750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B06" w:rsidRPr="00750B06" w:rsidRDefault="00750B06" w:rsidP="00750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B06" w:rsidRPr="00750B06" w:rsidRDefault="00750B06" w:rsidP="00750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textDirection w:val="btLr"/>
            <w:vAlign w:val="center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</w:pPr>
            <w:r w:rsidRPr="00750B06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  <w:t xml:space="preserve">дата отримання скарги (претензії) </w:t>
            </w:r>
          </w:p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</w:pPr>
            <w:proofErr w:type="spellStart"/>
            <w:r w:rsidRPr="00750B06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  <w:t>дд.мм.рррр</w:t>
            </w:r>
            <w:proofErr w:type="spellEnd"/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textDirection w:val="btLr"/>
            <w:vAlign w:val="center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</w:pPr>
            <w:r w:rsidRPr="00750B06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  <w:t xml:space="preserve">дата надання письмової відповіді на скаргу (претензію) </w:t>
            </w:r>
            <w:proofErr w:type="spellStart"/>
            <w:r w:rsidRPr="00750B06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  <w:t>дд.мм.рррр</w:t>
            </w:r>
            <w:proofErr w:type="spellEnd"/>
          </w:p>
        </w:tc>
        <w:tc>
          <w:tcPr>
            <w:tcW w:w="283" w:type="dxa"/>
            <w:vMerge w:val="restart"/>
            <w:tcBorders>
              <w:top w:val="nil"/>
              <w:left w:val="nil"/>
              <w:right w:val="single" w:sz="4" w:space="0" w:color="auto"/>
            </w:tcBorders>
            <w:textDirection w:val="btLr"/>
            <w:vAlign w:val="center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</w:pPr>
            <w:r w:rsidRPr="00750B06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  <w:t>строк надання письмової відповіді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textDirection w:val="btLr"/>
            <w:vAlign w:val="center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</w:pPr>
            <w:r w:rsidRPr="00750B06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  <w:t xml:space="preserve">дата встановлення вимірювального засобу </w:t>
            </w:r>
          </w:p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</w:pPr>
            <w:proofErr w:type="spellStart"/>
            <w:r w:rsidRPr="00750B06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  <w:t>дд.мм.рррр</w:t>
            </w:r>
            <w:proofErr w:type="spellEnd"/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textDirection w:val="btLr"/>
            <w:vAlign w:val="center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</w:pPr>
            <w:r w:rsidRPr="00750B06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  <w:t xml:space="preserve">дата зняття вимірювального засобу </w:t>
            </w:r>
          </w:p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</w:pPr>
            <w:proofErr w:type="spellStart"/>
            <w:r w:rsidRPr="00750B06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  <w:t>дд.мм.рррр</w:t>
            </w:r>
            <w:proofErr w:type="spellEnd"/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textDirection w:val="btLr"/>
            <w:vAlign w:val="center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</w:pPr>
            <w:r w:rsidRPr="00750B06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  <w:t>тривалість вимірювання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textDirection w:val="btLr"/>
            <w:vAlign w:val="center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</w:pPr>
            <w:r w:rsidRPr="00750B06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  <w:t xml:space="preserve">показники відповідають нормативним значенням </w:t>
            </w:r>
          </w:p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</w:pPr>
            <w:r w:rsidRPr="00750B06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  <w:t>(так/ні)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textDirection w:val="btLr"/>
            <w:vAlign w:val="center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</w:pPr>
            <w:r w:rsidRPr="00750B06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  <w:t>короткий опис результатів огляду/вимірювання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uk-UA" w:eastAsia="ru-RU"/>
              </w:rPr>
            </w:pPr>
            <w:r w:rsidRPr="00750B06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uk-UA" w:eastAsia="ru-RU"/>
              </w:rPr>
              <w:t>обґрунтованість скарги (претензії)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</w:pPr>
            <w:r w:rsidRPr="00750B06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  <w:t>документи, які підтверджують визнання скарги (претензії) такою, що   не підлягає задоволенню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textDirection w:val="btLr"/>
            <w:vAlign w:val="center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</w:pPr>
            <w:r w:rsidRPr="00750B06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  <w:t xml:space="preserve">дата підтвердження факту недотримання </w:t>
            </w:r>
          </w:p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</w:pPr>
            <w:r w:rsidRPr="00750B06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  <w:t xml:space="preserve">показників якості </w:t>
            </w:r>
            <w:r w:rsidRPr="00750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0B06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  <w:t>електричної енергії</w:t>
            </w:r>
          </w:p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</w:pPr>
            <w:proofErr w:type="spellStart"/>
            <w:r w:rsidRPr="00750B06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  <w:t>дд.мм.рррр</w:t>
            </w:r>
            <w:proofErr w:type="spellEnd"/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textDirection w:val="btLr"/>
            <w:vAlign w:val="center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</w:pPr>
            <w:r w:rsidRPr="00750B06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  <w:t xml:space="preserve">вид робіт, необхідних для усунення причин </w:t>
            </w:r>
          </w:p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</w:pPr>
            <w:r w:rsidRPr="00750B06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  <w:t xml:space="preserve">незадовільної якості </w:t>
            </w:r>
            <w:r w:rsidRPr="00750B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750B06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  <w:t>електричної енергії</w:t>
            </w:r>
          </w:p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</w:pPr>
            <w:r w:rsidRPr="00750B06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  <w:t>(прості/складні)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textDirection w:val="btLr"/>
            <w:vAlign w:val="center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</w:pPr>
            <w:r w:rsidRPr="00750B06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  <w:t xml:space="preserve">дата усунення причин незадовільної </w:t>
            </w:r>
          </w:p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</w:pPr>
            <w:r w:rsidRPr="00750B06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  <w:t xml:space="preserve">якості </w:t>
            </w:r>
            <w:r w:rsidRPr="00750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0B06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  <w:t xml:space="preserve">електричної енергії відповідно до законодавства </w:t>
            </w:r>
          </w:p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</w:pPr>
            <w:proofErr w:type="spellStart"/>
            <w:r w:rsidRPr="00750B06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  <w:t>дд.мм.рррр</w:t>
            </w:r>
            <w:proofErr w:type="spellEnd"/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textDirection w:val="btLr"/>
            <w:vAlign w:val="center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</w:pPr>
            <w:r w:rsidRPr="00750B06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  <w:t xml:space="preserve">фактична дата усунення причин незадовільної </w:t>
            </w:r>
          </w:p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</w:pPr>
            <w:r w:rsidRPr="00750B06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  <w:t xml:space="preserve">якості </w:t>
            </w:r>
            <w:r w:rsidRPr="00750B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750B06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  <w:t>електричної енергії</w:t>
            </w:r>
          </w:p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</w:pPr>
            <w:proofErr w:type="spellStart"/>
            <w:r w:rsidRPr="00750B06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  <w:t>дд.мм.рррр</w:t>
            </w:r>
            <w:proofErr w:type="spellEnd"/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textDirection w:val="btLr"/>
            <w:vAlign w:val="center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</w:pPr>
            <w:r w:rsidRPr="00750B06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  <w:t xml:space="preserve">тривалість усунення причин незадовільної якості </w:t>
            </w:r>
            <w:r w:rsidRPr="00750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0B06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  <w:t>електричної енергії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sz="4" w:space="0" w:color="auto"/>
            </w:tcBorders>
            <w:textDirection w:val="btLr"/>
            <w:vAlign w:val="center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</w:pPr>
            <w:r w:rsidRPr="00750B06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  <w:t>інформація про виконані роботи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B06" w:rsidRPr="00750B06" w:rsidRDefault="00750B06" w:rsidP="00750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B06" w:rsidRPr="00750B06" w:rsidRDefault="00750B06" w:rsidP="00750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</w:pPr>
          </w:p>
        </w:tc>
      </w:tr>
      <w:tr w:rsidR="00750B06" w:rsidRPr="00750B06" w:rsidTr="00794405">
        <w:trPr>
          <w:trHeight w:val="31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B06" w:rsidRPr="00750B06" w:rsidRDefault="00750B06" w:rsidP="00750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B06" w:rsidRPr="00750B06" w:rsidRDefault="00750B06" w:rsidP="00750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B06" w:rsidRPr="00750B06" w:rsidRDefault="00750B06" w:rsidP="00750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B06" w:rsidRPr="00750B06" w:rsidRDefault="00750B06" w:rsidP="00750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B06" w:rsidRPr="00750B06" w:rsidRDefault="00750B06" w:rsidP="00750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textDirection w:val="btLr"/>
            <w:vAlign w:val="center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textDirection w:val="btLr"/>
            <w:vAlign w:val="center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</w:pPr>
          </w:p>
        </w:tc>
        <w:tc>
          <w:tcPr>
            <w:tcW w:w="283" w:type="dxa"/>
            <w:vMerge/>
            <w:tcBorders>
              <w:left w:val="nil"/>
              <w:right w:val="single" w:sz="4" w:space="0" w:color="auto"/>
            </w:tcBorders>
            <w:textDirection w:val="btLr"/>
            <w:vAlign w:val="center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textDirection w:val="btLr"/>
            <w:vAlign w:val="center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textDirection w:val="btLr"/>
            <w:vAlign w:val="center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textDirection w:val="btLr"/>
            <w:vAlign w:val="center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textDirection w:val="btLr"/>
            <w:vAlign w:val="center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textDirection w:val="btLr"/>
            <w:vAlign w:val="center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</w:pPr>
            <w:r w:rsidRPr="00750B06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  <w:t>так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</w:pPr>
            <w:r w:rsidRPr="00750B06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  <w:t>ні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textDirection w:val="btLr"/>
            <w:vAlign w:val="center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textDirection w:val="btLr"/>
            <w:vAlign w:val="center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textDirection w:val="btLr"/>
            <w:vAlign w:val="center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textDirection w:val="btLr"/>
            <w:vAlign w:val="center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textDirection w:val="btLr"/>
            <w:vAlign w:val="center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</w:pP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textDirection w:val="btLr"/>
            <w:vAlign w:val="center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B06" w:rsidRPr="00750B06" w:rsidRDefault="00750B06" w:rsidP="00750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B06" w:rsidRPr="00750B06" w:rsidRDefault="00750B06" w:rsidP="00750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</w:pPr>
          </w:p>
        </w:tc>
      </w:tr>
      <w:tr w:rsidR="00750B06" w:rsidRPr="00750B06" w:rsidTr="00794405">
        <w:trPr>
          <w:trHeight w:val="4157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0B06" w:rsidRPr="00750B06" w:rsidRDefault="00750B06" w:rsidP="00750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0B06" w:rsidRPr="00750B06" w:rsidRDefault="00750B06" w:rsidP="00750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0B06" w:rsidRPr="00750B06" w:rsidRDefault="00750B06" w:rsidP="00750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0B06" w:rsidRPr="00750B06" w:rsidRDefault="00750B06" w:rsidP="00750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0B06" w:rsidRPr="00750B06" w:rsidRDefault="00750B06" w:rsidP="00750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</w:pPr>
          </w:p>
        </w:tc>
        <w:tc>
          <w:tcPr>
            <w:tcW w:w="2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nil"/>
              <w:right w:val="single" w:sz="4" w:space="0" w:color="auto"/>
            </w:tcBorders>
            <w:textDirection w:val="btLr"/>
            <w:vAlign w:val="center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</w:pPr>
            <w:r w:rsidRPr="00750B06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  <w:t>внаслідок порушень споживачем вимог нормативно-технічної документації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</w:pPr>
            <w:r w:rsidRPr="00750B06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  <w:t xml:space="preserve">результати вимірювання підтверджують дотримання ОСР нормативних показників якості </w:t>
            </w:r>
            <w:r w:rsidRPr="00750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0B06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  <w:t>електричної енергії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</w:pPr>
            <w:r w:rsidRPr="00750B06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  <w:t>письмова відмова споживача від скарги(претензії)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0B06" w:rsidRPr="00750B06" w:rsidRDefault="00750B06" w:rsidP="00750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0B06" w:rsidRPr="00750B06" w:rsidRDefault="00750B06" w:rsidP="00750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uk-UA" w:eastAsia="ru-RU"/>
              </w:rPr>
            </w:pPr>
          </w:p>
        </w:tc>
      </w:tr>
      <w:tr w:rsidR="00750B06" w:rsidRPr="00750B06" w:rsidTr="00794405">
        <w:trPr>
          <w:trHeight w:val="37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uk-UA" w:eastAsia="ru-RU"/>
              </w:rPr>
            </w:pPr>
            <w:r w:rsidRPr="00750B06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uk-UA"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uk-UA" w:eastAsia="ru-RU"/>
              </w:rPr>
            </w:pPr>
            <w:r w:rsidRPr="00750B06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uk-UA" w:eastAsia="ru-RU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uk-UA" w:eastAsia="ru-RU"/>
              </w:rPr>
            </w:pPr>
            <w:r w:rsidRPr="00750B06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uk-UA" w:eastAsia="ru-RU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uk-UA" w:eastAsia="ru-RU"/>
              </w:rPr>
            </w:pPr>
            <w:r w:rsidRPr="00750B06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uk-UA" w:eastAsia="ru-RU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uk-UA" w:eastAsia="ru-RU"/>
              </w:rPr>
            </w:pPr>
            <w:r w:rsidRPr="00750B06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uk-UA"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uk-UA" w:eastAsia="ru-RU"/>
              </w:rPr>
            </w:pPr>
            <w:r w:rsidRPr="00750B06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uk-UA"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uk-UA" w:eastAsia="ru-RU"/>
              </w:rPr>
            </w:pPr>
            <w:r w:rsidRPr="00750B06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uk-UA" w:eastAsia="ru-RU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uk-UA" w:eastAsia="ru-RU"/>
              </w:rPr>
            </w:pPr>
            <w:r w:rsidRPr="00750B06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uk-UA"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uk-UA" w:eastAsia="ru-RU"/>
              </w:rPr>
            </w:pPr>
            <w:r w:rsidRPr="00750B06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uk-UA"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uk-UA" w:eastAsia="ru-RU"/>
              </w:rPr>
            </w:pPr>
            <w:r w:rsidRPr="00750B06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uk-UA"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uk-UA" w:eastAsia="ru-RU"/>
              </w:rPr>
            </w:pPr>
            <w:r w:rsidRPr="00750B06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uk-UA"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uk-UA" w:eastAsia="ru-RU"/>
              </w:rPr>
            </w:pPr>
            <w:r w:rsidRPr="00750B06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uk-UA"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uk-UA" w:eastAsia="ru-RU"/>
              </w:rPr>
            </w:pPr>
            <w:r w:rsidRPr="00750B06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uk-UA" w:eastAsia="ru-RU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uk-UA" w:eastAsia="ru-RU"/>
              </w:rPr>
            </w:pPr>
            <w:r w:rsidRPr="00750B06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uk-UA"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uk-UA" w:eastAsia="ru-RU"/>
              </w:rPr>
            </w:pPr>
            <w:r w:rsidRPr="00750B06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uk-UA" w:eastAsia="ru-RU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uk-UA" w:eastAsia="ru-RU"/>
              </w:rPr>
            </w:pPr>
            <w:r w:rsidRPr="00750B06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uk-UA"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uk-UA" w:eastAsia="ru-RU"/>
              </w:rPr>
            </w:pPr>
            <w:r w:rsidRPr="00750B06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uk-UA" w:eastAsia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uk-UA" w:eastAsia="ru-RU"/>
              </w:rPr>
            </w:pPr>
            <w:r w:rsidRPr="00750B06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uk-UA" w:eastAsia="ru-RU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uk-UA" w:eastAsia="ru-RU"/>
              </w:rPr>
            </w:pPr>
            <w:r w:rsidRPr="00750B06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uk-UA" w:eastAsia="ru-RU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uk-UA" w:eastAsia="ru-RU"/>
              </w:rPr>
            </w:pPr>
            <w:r w:rsidRPr="00750B06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uk-UA" w:eastAsia="ru-RU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uk-UA" w:eastAsia="ru-RU"/>
              </w:rPr>
            </w:pPr>
            <w:r w:rsidRPr="00750B06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uk-UA" w:eastAsia="ru-RU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uk-UA" w:eastAsia="ru-RU"/>
              </w:rPr>
            </w:pPr>
            <w:r w:rsidRPr="00750B06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uk-UA"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uk-UA" w:eastAsia="ru-RU"/>
              </w:rPr>
            </w:pPr>
            <w:r w:rsidRPr="00750B06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uk-UA"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uk-UA" w:eastAsia="ru-RU"/>
              </w:rPr>
            </w:pPr>
            <w:r w:rsidRPr="00750B06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uk-UA" w:eastAsia="ru-RU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uk-UA" w:eastAsia="ru-RU"/>
              </w:rPr>
            </w:pPr>
            <w:r w:rsidRPr="00750B06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uk-UA" w:eastAsia="ru-RU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uk-UA" w:eastAsia="ru-RU"/>
              </w:rPr>
            </w:pPr>
            <w:r w:rsidRPr="00750B06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uk-UA" w:eastAsia="ru-RU"/>
              </w:rPr>
              <w:t>26</w:t>
            </w:r>
          </w:p>
        </w:tc>
      </w:tr>
      <w:tr w:rsidR="00750B06" w:rsidRPr="00750B06" w:rsidTr="00794405">
        <w:trPr>
          <w:trHeight w:val="31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B06" w:rsidRPr="00750B06" w:rsidRDefault="00750B06" w:rsidP="00750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uk-UA" w:eastAsia="ru-RU"/>
              </w:rPr>
            </w:pPr>
            <w:r w:rsidRPr="00750B06">
              <w:rPr>
                <w:rFonts w:ascii="Times New Roman" w:eastAsia="Times New Roman" w:hAnsi="Times New Roman" w:cs="Times New Roman"/>
                <w:color w:val="000000"/>
                <w:sz w:val="18"/>
                <w:lang w:val="uk-UA" w:eastAsia="ru-RU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uk-UA" w:eastAsia="ru-RU"/>
              </w:rPr>
            </w:pPr>
            <w:r w:rsidRPr="00750B06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uk-UA" w:eastAsia="ru-RU"/>
              </w:rPr>
            </w:pPr>
            <w:r w:rsidRPr="00750B06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uk-UA" w:eastAsia="ru-RU"/>
              </w:rPr>
            </w:pPr>
            <w:r w:rsidRPr="00750B06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uk-UA" w:eastAsia="ru-RU"/>
              </w:rPr>
            </w:pPr>
            <w:r w:rsidRPr="00750B06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uk-UA" w:eastAsia="ru-RU"/>
              </w:rPr>
            </w:pPr>
            <w:r w:rsidRPr="00750B06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uk-UA" w:eastAsia="ru-RU"/>
              </w:rPr>
            </w:pPr>
            <w:r w:rsidRPr="00750B06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uk-UA" w:eastAsia="ru-RU"/>
              </w:rPr>
            </w:pPr>
            <w:r w:rsidRPr="00750B06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uk-UA" w:eastAsia="ru-RU"/>
              </w:rPr>
            </w:pPr>
            <w:r w:rsidRPr="00750B06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uk-UA" w:eastAsia="ru-RU"/>
              </w:rPr>
            </w:pPr>
            <w:r w:rsidRPr="00750B06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uk-UA" w:eastAsia="ru-RU"/>
              </w:rPr>
            </w:pPr>
            <w:r w:rsidRPr="00750B06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uk-UA" w:eastAsia="ru-RU"/>
              </w:rPr>
            </w:pPr>
            <w:r w:rsidRPr="00750B06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uk-UA" w:eastAsia="ru-RU"/>
              </w:rPr>
            </w:pPr>
            <w:r w:rsidRPr="00750B06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uk-UA" w:eastAsia="ru-RU"/>
              </w:rPr>
            </w:pPr>
            <w:r w:rsidRPr="00750B06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uk-UA" w:eastAsia="ru-RU"/>
              </w:rPr>
            </w:pPr>
            <w:r w:rsidRPr="00750B06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uk-UA" w:eastAsia="ru-RU"/>
              </w:rPr>
            </w:pPr>
            <w:r w:rsidRPr="00750B06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uk-UA" w:eastAsia="ru-RU"/>
              </w:rPr>
            </w:pPr>
            <w:r w:rsidRPr="00750B06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uk-UA" w:eastAsia="ru-RU"/>
              </w:rPr>
            </w:pPr>
            <w:r w:rsidRPr="00750B06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uk-UA" w:eastAsia="ru-RU"/>
              </w:rPr>
            </w:pPr>
            <w:r w:rsidRPr="00750B06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uk-UA" w:eastAsia="ru-RU"/>
              </w:rPr>
            </w:pPr>
            <w:r w:rsidRPr="00750B06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uk-UA" w:eastAsia="ru-RU"/>
              </w:rPr>
            </w:pPr>
            <w:r w:rsidRPr="00750B06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uk-UA" w:eastAsia="ru-RU"/>
              </w:rPr>
            </w:pPr>
            <w:r w:rsidRPr="00750B06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uk-UA" w:eastAsia="ru-RU"/>
              </w:rPr>
            </w:pPr>
            <w:r w:rsidRPr="00750B06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uk-UA" w:eastAsia="ru-RU"/>
              </w:rPr>
              <w:t xml:space="preserve"> </w:t>
            </w:r>
          </w:p>
        </w:tc>
      </w:tr>
      <w:tr w:rsidR="00750B06" w:rsidRPr="00750B06" w:rsidTr="00794405">
        <w:trPr>
          <w:trHeight w:val="31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B06" w:rsidRPr="00750B06" w:rsidRDefault="00750B06" w:rsidP="00750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uk-UA"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uk-UA"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uk-UA"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uk-UA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0B06" w:rsidRPr="00750B06" w:rsidRDefault="00750B06" w:rsidP="0075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val="uk-UA" w:eastAsia="ru-RU"/>
              </w:rPr>
            </w:pPr>
          </w:p>
        </w:tc>
      </w:tr>
    </w:tbl>
    <w:p w:rsidR="00750B06" w:rsidRPr="00750B06" w:rsidRDefault="00750B06" w:rsidP="00750B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B06" w:rsidRDefault="00750B06"/>
    <w:sectPr w:rsidR="00750B06" w:rsidSect="00750B0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B06"/>
    <w:rsid w:val="00750B06"/>
    <w:rsid w:val="00D54E28"/>
    <w:rsid w:val="00EB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EA886"/>
  <w15:chartTrackingRefBased/>
  <w15:docId w15:val="{4A371700-AF4B-4A8F-9A9F-6FD8B9766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6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33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.rada.gov.ua/laws/show/v0310874-18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zakon.rada.gov.ua/laws/show/v0310874-18" TargetMode="External"/><Relationship Id="rId12" Type="http://schemas.openxmlformats.org/officeDocument/2006/relationships/hyperlink" Target="http://zakon.rada.gov.ua/laws/show/v0310874-1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akon.rada.gov.ua/laws/show/v0312874-18" TargetMode="External"/><Relationship Id="rId11" Type="http://schemas.openxmlformats.org/officeDocument/2006/relationships/hyperlink" Target="http://zakon.rada.gov.ua/laws/show/v0310874-18" TargetMode="External"/><Relationship Id="rId5" Type="http://schemas.openxmlformats.org/officeDocument/2006/relationships/hyperlink" Target="http://zakon.rada.gov.ua/laws/show/2019-19" TargetMode="External"/><Relationship Id="rId10" Type="http://schemas.openxmlformats.org/officeDocument/2006/relationships/hyperlink" Target="http://zakon.rada.gov.ua/laws/show/v0310874-18" TargetMode="External"/><Relationship Id="rId4" Type="http://schemas.openxmlformats.org/officeDocument/2006/relationships/hyperlink" Target="http://zakon.rada.gov.ua/laws/show/1540-19" TargetMode="External"/><Relationship Id="rId9" Type="http://schemas.openxmlformats.org/officeDocument/2006/relationships/hyperlink" Target="http://zakon.rada.gov.ua/laws/show/v0310874-1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2175</Words>
  <Characters>12401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2018-10-23T19:45:00Z</dcterms:created>
  <dcterms:modified xsi:type="dcterms:W3CDTF">2018-10-23T19:47:00Z</dcterms:modified>
</cp:coreProperties>
</file>