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639"/>
      </w:tblGrid>
      <w:tr w:rsidR="00D2164B" w:rsidRPr="00D2164B" w:rsidTr="00D2164B">
        <w:tc>
          <w:tcPr>
            <w:tcW w:w="2000" w:type="pct"/>
            <w:shd w:val="clear" w:color="auto" w:fill="auto"/>
            <w:hideMark/>
          </w:tcPr>
          <w:p w:rsidR="00D2164B" w:rsidRPr="00D2164B" w:rsidRDefault="00D2164B" w:rsidP="00D2164B">
            <w:pPr>
              <w:spacing w:before="150" w:after="150" w:line="240" w:lineRule="auto"/>
              <w:jc w:val="right"/>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br/>
            </w:r>
            <w:bookmarkStart w:id="0" w:name="_GoBack"/>
            <w:bookmarkEnd w:id="0"/>
            <w:r w:rsidRPr="00D2164B">
              <w:rPr>
                <w:rFonts w:ascii="Times New Roman" w:eastAsia="Times New Roman" w:hAnsi="Times New Roman" w:cs="Times New Roman"/>
                <w:sz w:val="24"/>
                <w:szCs w:val="24"/>
                <w:lang w:eastAsia="uk-UA"/>
              </w:rPr>
              <w:t>Додаток 18 </w:t>
            </w:r>
            <w:r w:rsidRPr="00D2164B">
              <w:rPr>
                <w:rFonts w:ascii="Times New Roman" w:eastAsia="Times New Roman" w:hAnsi="Times New Roman" w:cs="Times New Roman"/>
                <w:sz w:val="24"/>
                <w:szCs w:val="24"/>
                <w:lang w:eastAsia="uk-UA"/>
              </w:rPr>
              <w:br/>
              <w:t>до Правил організації та ведення обліку </w:t>
            </w:r>
            <w:r w:rsidRPr="00D2164B">
              <w:rPr>
                <w:rFonts w:ascii="Times New Roman" w:eastAsia="Times New Roman" w:hAnsi="Times New Roman" w:cs="Times New Roman"/>
                <w:sz w:val="24"/>
                <w:szCs w:val="24"/>
                <w:lang w:eastAsia="uk-UA"/>
              </w:rPr>
              <w:br/>
              <w:t>за ліцензованими видами діяльності </w:t>
            </w:r>
            <w:r w:rsidRPr="00D2164B">
              <w:rPr>
                <w:rFonts w:ascii="Times New Roman" w:eastAsia="Times New Roman" w:hAnsi="Times New Roman" w:cs="Times New Roman"/>
                <w:sz w:val="24"/>
                <w:szCs w:val="24"/>
                <w:lang w:eastAsia="uk-UA"/>
              </w:rPr>
              <w:br/>
              <w:t>з централізованого водопостачання </w:t>
            </w:r>
            <w:r w:rsidRPr="00D2164B">
              <w:rPr>
                <w:rFonts w:ascii="Times New Roman" w:eastAsia="Times New Roman" w:hAnsi="Times New Roman" w:cs="Times New Roman"/>
                <w:sz w:val="24"/>
                <w:szCs w:val="24"/>
                <w:lang w:eastAsia="uk-UA"/>
              </w:rPr>
              <w:br/>
              <w:t>та водовідведення </w:t>
            </w:r>
            <w:r w:rsidRPr="00D2164B">
              <w:rPr>
                <w:rFonts w:ascii="Times New Roman" w:eastAsia="Times New Roman" w:hAnsi="Times New Roman" w:cs="Times New Roman"/>
                <w:sz w:val="24"/>
                <w:szCs w:val="24"/>
                <w:lang w:eastAsia="uk-UA"/>
              </w:rPr>
              <w:br/>
              <w:t>(пункт 6.13)</w:t>
            </w:r>
          </w:p>
        </w:tc>
      </w:tr>
    </w:tbl>
    <w:p w:rsidR="00D2164B" w:rsidRPr="00D2164B" w:rsidRDefault="00D2164B" w:rsidP="00D2164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 w:name="n401"/>
      <w:bookmarkEnd w:id="1"/>
      <w:r w:rsidRPr="00D2164B">
        <w:rPr>
          <w:rFonts w:ascii="Times New Roman" w:eastAsia="Times New Roman" w:hAnsi="Times New Roman" w:cs="Times New Roman"/>
          <w:b/>
          <w:bCs/>
          <w:color w:val="000000"/>
          <w:sz w:val="28"/>
          <w:szCs w:val="28"/>
          <w:lang w:eastAsia="uk-UA"/>
        </w:rPr>
        <w:t>ПРИМІРНИЙ ПЕРЕЛІК </w:t>
      </w:r>
      <w:r w:rsidRPr="00D2164B">
        <w:rPr>
          <w:rFonts w:ascii="Times New Roman" w:eastAsia="Times New Roman" w:hAnsi="Times New Roman" w:cs="Times New Roman"/>
          <w:color w:val="000000"/>
          <w:sz w:val="24"/>
          <w:szCs w:val="24"/>
          <w:lang w:eastAsia="uk-UA"/>
        </w:rPr>
        <w:br/>
      </w:r>
      <w:r w:rsidRPr="00D2164B">
        <w:rPr>
          <w:rFonts w:ascii="Times New Roman" w:eastAsia="Times New Roman" w:hAnsi="Times New Roman" w:cs="Times New Roman"/>
          <w:b/>
          <w:bCs/>
          <w:color w:val="000000"/>
          <w:sz w:val="28"/>
          <w:szCs w:val="28"/>
          <w:lang w:eastAsia="uk-UA"/>
        </w:rPr>
        <w:t>загальновиробничих витрат</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854"/>
        <w:gridCol w:w="6769"/>
      </w:tblGrid>
      <w:tr w:rsidR="00D2164B" w:rsidRPr="00D2164B" w:rsidTr="00D2164B">
        <w:trPr>
          <w:trHeight w:val="48"/>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jc w:val="center"/>
              <w:rPr>
                <w:rFonts w:ascii="Times New Roman" w:eastAsia="Times New Roman" w:hAnsi="Times New Roman" w:cs="Times New Roman"/>
                <w:sz w:val="24"/>
                <w:szCs w:val="24"/>
                <w:lang w:eastAsia="uk-UA"/>
              </w:rPr>
            </w:pPr>
            <w:bookmarkStart w:id="2" w:name="n402"/>
            <w:bookmarkEnd w:id="2"/>
            <w:r w:rsidRPr="00D2164B">
              <w:rPr>
                <w:rFonts w:ascii="Times New Roman" w:eastAsia="Times New Roman" w:hAnsi="Times New Roman" w:cs="Times New Roman"/>
                <w:sz w:val="24"/>
                <w:szCs w:val="24"/>
                <w:lang w:eastAsia="uk-UA"/>
              </w:rPr>
              <w:t>Статті витрат</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jc w:val="center"/>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Зміст (склад) статей витрат</w:t>
            </w:r>
          </w:p>
        </w:tc>
      </w:tr>
      <w:tr w:rsidR="00D2164B" w:rsidRPr="00D2164B" w:rsidTr="00D2164B">
        <w:trPr>
          <w:trHeight w:val="444"/>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Витрати на оплату праці та відрахування на загальнообов’язкове державне соціальне страхування</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Витрати на оплату праці: </w:t>
            </w:r>
            <w:r w:rsidRPr="00D2164B">
              <w:rPr>
                <w:rFonts w:ascii="Times New Roman" w:eastAsia="Times New Roman" w:hAnsi="Times New Roman" w:cs="Times New Roman"/>
                <w:sz w:val="24"/>
                <w:szCs w:val="24"/>
                <w:lang w:eastAsia="uk-UA"/>
              </w:rPr>
              <w:br/>
              <w:t>апарату управління виробництвом; </w:t>
            </w:r>
            <w:r w:rsidRPr="00D2164B">
              <w:rPr>
                <w:rFonts w:ascii="Times New Roman" w:eastAsia="Times New Roman" w:hAnsi="Times New Roman" w:cs="Times New Roman"/>
                <w:sz w:val="24"/>
                <w:szCs w:val="24"/>
                <w:lang w:eastAsia="uk-UA"/>
              </w:rPr>
              <w:br/>
              <w:t>загальновиробничого персоналу, що обслуговує виробничі процеси; </w:t>
            </w:r>
            <w:r w:rsidRPr="00D2164B">
              <w:rPr>
                <w:rFonts w:ascii="Times New Roman" w:eastAsia="Times New Roman" w:hAnsi="Times New Roman" w:cs="Times New Roman"/>
                <w:sz w:val="24"/>
                <w:szCs w:val="24"/>
                <w:lang w:eastAsia="uk-UA"/>
              </w:rPr>
              <w:br/>
              <w:t>працівників, зайнятих удосконаленням технології та організації виробництва, технологічним контролем за виробничими процесами та якістю централізованого водопостачання та водовідведення, утримання санітарних зон. </w:t>
            </w:r>
            <w:r w:rsidRPr="00D2164B">
              <w:rPr>
                <w:rFonts w:ascii="Times New Roman" w:eastAsia="Times New Roman" w:hAnsi="Times New Roman" w:cs="Times New Roman"/>
                <w:sz w:val="24"/>
                <w:szCs w:val="24"/>
                <w:lang w:eastAsia="uk-UA"/>
              </w:rPr>
              <w:br/>
              <w:t>Єдиний внесок на загальнообов’язкове державне соціальне страхування загальновиробничого персоналу</w:t>
            </w:r>
          </w:p>
        </w:tc>
      </w:tr>
      <w:tr w:rsidR="00D2164B" w:rsidRPr="00D2164B" w:rsidTr="00D2164B">
        <w:trPr>
          <w:trHeight w:val="6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Амортизація</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Амортизація основних засобів, інших необоротних матеріальних і нематеріальних активів загальновиробничого призначення (примірний перелік основних засобів загальновиробничого призначення наведено в </w:t>
            </w:r>
            <w:hyperlink r:id="rId4" w:anchor="n373" w:history="1">
              <w:r w:rsidRPr="00D2164B">
                <w:rPr>
                  <w:rFonts w:ascii="Times New Roman" w:eastAsia="Times New Roman" w:hAnsi="Times New Roman" w:cs="Times New Roman"/>
                  <w:color w:val="006600"/>
                  <w:sz w:val="24"/>
                  <w:szCs w:val="24"/>
                  <w:u w:val="single"/>
                  <w:lang w:eastAsia="uk-UA"/>
                </w:rPr>
                <w:t>додатку 8</w:t>
              </w:r>
            </w:hyperlink>
            <w:r w:rsidRPr="00D2164B">
              <w:rPr>
                <w:rFonts w:ascii="Times New Roman" w:eastAsia="Times New Roman" w:hAnsi="Times New Roman" w:cs="Times New Roman"/>
                <w:sz w:val="24"/>
                <w:szCs w:val="24"/>
                <w:lang w:eastAsia="uk-UA"/>
              </w:rPr>
              <w:t>)</w:t>
            </w:r>
          </w:p>
        </w:tc>
      </w:tr>
      <w:tr w:rsidR="00D2164B" w:rsidRPr="00D2164B" w:rsidTr="00D2164B">
        <w:trPr>
          <w:trHeight w:val="6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Матеріальні витрати</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 xml:space="preserve">Витрати на матеріали, купівельні комплектуючі вироби і напівфабрикати, пов’язані з утриманням основних засобів, інших необоротних матеріальних активів загальновиробничого призначення, удосконаленням технології та організацією виробничих процесів, здійсненням технологічного контролю за виробничими процесами та якістю централізованого водопостачання та/або водовідведення, утриманням санітарних зон, виконанням регламентних робіт (ремонтно-налагоджувальних та інших, передбачених проектно-технічною документацією, освоєння нових </w:t>
            </w:r>
            <w:proofErr w:type="spellStart"/>
            <w:r w:rsidRPr="00D2164B">
              <w:rPr>
                <w:rFonts w:ascii="Times New Roman" w:eastAsia="Times New Roman" w:hAnsi="Times New Roman" w:cs="Times New Roman"/>
                <w:sz w:val="24"/>
                <w:szCs w:val="24"/>
                <w:lang w:eastAsia="uk-UA"/>
              </w:rPr>
              <w:t>потужностей</w:t>
            </w:r>
            <w:proofErr w:type="spellEnd"/>
            <w:r w:rsidRPr="00D2164B">
              <w:rPr>
                <w:rFonts w:ascii="Times New Roman" w:eastAsia="Times New Roman" w:hAnsi="Times New Roman" w:cs="Times New Roman"/>
                <w:sz w:val="24"/>
                <w:szCs w:val="24"/>
                <w:lang w:eastAsia="uk-UA"/>
              </w:rPr>
              <w:t>, необхідних для забезпечення централізованого водопостачання та/або водовідведення). </w:t>
            </w:r>
            <w:r w:rsidRPr="00D2164B">
              <w:rPr>
                <w:rFonts w:ascii="Times New Roman" w:eastAsia="Times New Roman" w:hAnsi="Times New Roman" w:cs="Times New Roman"/>
                <w:sz w:val="24"/>
                <w:szCs w:val="24"/>
                <w:lang w:eastAsia="uk-UA"/>
              </w:rPr>
              <w:br/>
              <w:t>Витрати на пально-мастильні матеріали для потреб загальновиробничого персоналу</w:t>
            </w:r>
          </w:p>
        </w:tc>
      </w:tr>
      <w:tr w:rsidR="00D2164B" w:rsidRPr="00D2164B" w:rsidTr="00D2164B">
        <w:trPr>
          <w:trHeight w:val="18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Витрати на охорону праці, техніку безпеки і охорону навколишнього природного середовища</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Витрати на спецодяг, спецвзуття, спецхарчування, миючі засоби, проведення медоглядів, придбання медикаментів для комплектації та поповнення медичних аптечок, навчання з охорони праці, утримання вогнегасників тощо для загальновиробничого персоналу</w:t>
            </w:r>
          </w:p>
        </w:tc>
      </w:tr>
      <w:tr w:rsidR="00D2164B" w:rsidRPr="00D2164B" w:rsidTr="00D2164B">
        <w:trPr>
          <w:trHeight w:val="864"/>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lastRenderedPageBreak/>
              <w:t>Витрати на податки і збори</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Витрати на податки і збори, пов’язані з виробничими процесами більше ніж одного виду діяльності ліцензіата (земельний податок, податок на майно і, зокрема, на нерухоме майно, відмінне від земельної ділянки, транспортний податок, рентна плата за спеціальне використання води, рентна плата за користування радіочастотним ресурсом України, екологічний податок, рентна плата за користування надрами для видобування корисних копалин тощо)</w:t>
            </w:r>
          </w:p>
        </w:tc>
      </w:tr>
      <w:tr w:rsidR="00D2164B" w:rsidRPr="00D2164B" w:rsidTr="00D2164B">
        <w:trPr>
          <w:trHeight w:val="168"/>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Внески на регулювання</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Внески на регулювання, ставка яких визначається НКРЕКП, а сума внеску визначається ліцензіатом</w:t>
            </w:r>
          </w:p>
        </w:tc>
      </w:tr>
      <w:tr w:rsidR="00D2164B" w:rsidRPr="00D2164B" w:rsidTr="00D2164B">
        <w:trPr>
          <w:trHeight w:val="192"/>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Інші витрати загальновиробничого призначення</w:t>
            </w:r>
          </w:p>
        </w:tc>
        <w:tc>
          <w:tcPr>
            <w:tcW w:w="6690" w:type="dxa"/>
            <w:tcBorders>
              <w:top w:val="single" w:sz="6" w:space="0" w:color="000000"/>
              <w:left w:val="single" w:sz="6" w:space="0" w:color="000000"/>
              <w:bottom w:val="single" w:sz="6" w:space="0" w:color="000000"/>
              <w:right w:val="single" w:sz="6" w:space="0" w:color="000000"/>
            </w:tcBorders>
            <w:shd w:val="clear" w:color="auto" w:fill="auto"/>
            <w:hideMark/>
          </w:tcPr>
          <w:p w:rsidR="00D2164B" w:rsidRPr="00D2164B" w:rsidRDefault="00D2164B" w:rsidP="00D2164B">
            <w:pPr>
              <w:spacing w:before="150" w:after="150" w:line="240" w:lineRule="auto"/>
              <w:rPr>
                <w:rFonts w:ascii="Times New Roman" w:eastAsia="Times New Roman" w:hAnsi="Times New Roman" w:cs="Times New Roman"/>
                <w:sz w:val="24"/>
                <w:szCs w:val="24"/>
                <w:lang w:eastAsia="uk-UA"/>
              </w:rPr>
            </w:pPr>
            <w:r w:rsidRPr="00D2164B">
              <w:rPr>
                <w:rFonts w:ascii="Times New Roman" w:eastAsia="Times New Roman" w:hAnsi="Times New Roman" w:cs="Times New Roman"/>
                <w:sz w:val="24"/>
                <w:szCs w:val="24"/>
                <w:lang w:eastAsia="uk-UA"/>
              </w:rPr>
              <w:t>Витрати на медичне страхування апарату управління цехами, дільницями, який задіяний у виробничих процесах більше ніж одного виду діяльності ліцензіата, та іншого загальновиробничого персоналу. </w:t>
            </w:r>
            <w:r w:rsidRPr="00D2164B">
              <w:rPr>
                <w:rFonts w:ascii="Times New Roman" w:eastAsia="Times New Roman" w:hAnsi="Times New Roman" w:cs="Times New Roman"/>
                <w:sz w:val="24"/>
                <w:szCs w:val="24"/>
                <w:lang w:eastAsia="uk-UA"/>
              </w:rPr>
              <w:br/>
              <w:t xml:space="preserve">Витрати на оплату службових </w:t>
            </w:r>
            <w:proofErr w:type="spellStart"/>
            <w:r w:rsidRPr="00D2164B">
              <w:rPr>
                <w:rFonts w:ascii="Times New Roman" w:eastAsia="Times New Roman" w:hAnsi="Times New Roman" w:cs="Times New Roman"/>
                <w:sz w:val="24"/>
                <w:szCs w:val="24"/>
                <w:lang w:eastAsia="uk-UA"/>
              </w:rPr>
              <w:t>відряджень</w:t>
            </w:r>
            <w:proofErr w:type="spellEnd"/>
            <w:r w:rsidRPr="00D2164B">
              <w:rPr>
                <w:rFonts w:ascii="Times New Roman" w:eastAsia="Times New Roman" w:hAnsi="Times New Roman" w:cs="Times New Roman"/>
                <w:sz w:val="24"/>
                <w:szCs w:val="24"/>
                <w:lang w:eastAsia="uk-UA"/>
              </w:rPr>
              <w:t xml:space="preserve"> загальновиробничого персоналу. </w:t>
            </w:r>
            <w:r w:rsidRPr="00D2164B">
              <w:rPr>
                <w:rFonts w:ascii="Times New Roman" w:eastAsia="Times New Roman" w:hAnsi="Times New Roman" w:cs="Times New Roman"/>
                <w:sz w:val="24"/>
                <w:szCs w:val="24"/>
                <w:lang w:eastAsia="uk-UA"/>
              </w:rPr>
              <w:br/>
              <w:t>Витрати на технічний огляд, ремонт, страхування майна, операційну оренду, опалення, освітлення, водопостачання, водовідведення, пожежну і сторожову охорону, послуги з утримання будинків і споруд та прибудинкових територій, дезінфекцію, дератизацію, вивезення сміття, утримання санітарних зон та інші витрати, пов’язані з експлуатацією загальновиробничих основних засобів, інших матеріальних необоротних активів, які використовуються для виробничих процесів більше ніж одного виду діяльності ліцензіата. </w:t>
            </w:r>
            <w:r w:rsidRPr="00D2164B">
              <w:rPr>
                <w:rFonts w:ascii="Times New Roman" w:eastAsia="Times New Roman" w:hAnsi="Times New Roman" w:cs="Times New Roman"/>
                <w:sz w:val="24"/>
                <w:szCs w:val="24"/>
                <w:lang w:eastAsia="uk-UA"/>
              </w:rPr>
              <w:br/>
              <w:t xml:space="preserve">Витрати, пов’язані із забезпеченням належного стану обладнання, виконанням ремонтно-налагоджувальних робіт, передбачених проектно-технічною документацією, освоєнням нових </w:t>
            </w:r>
            <w:proofErr w:type="spellStart"/>
            <w:r w:rsidRPr="00D2164B">
              <w:rPr>
                <w:rFonts w:ascii="Times New Roman" w:eastAsia="Times New Roman" w:hAnsi="Times New Roman" w:cs="Times New Roman"/>
                <w:sz w:val="24"/>
                <w:szCs w:val="24"/>
                <w:lang w:eastAsia="uk-UA"/>
              </w:rPr>
              <w:t>потужностей</w:t>
            </w:r>
            <w:proofErr w:type="spellEnd"/>
            <w:r w:rsidRPr="00D2164B">
              <w:rPr>
                <w:rFonts w:ascii="Times New Roman" w:eastAsia="Times New Roman" w:hAnsi="Times New Roman" w:cs="Times New Roman"/>
                <w:sz w:val="24"/>
                <w:szCs w:val="24"/>
                <w:lang w:eastAsia="uk-UA"/>
              </w:rPr>
              <w:t>, що використовуються для виробничих процесів більше ніж одного виду діяльності ліцензіата. </w:t>
            </w:r>
            <w:r w:rsidRPr="00D2164B">
              <w:rPr>
                <w:rFonts w:ascii="Times New Roman" w:eastAsia="Times New Roman" w:hAnsi="Times New Roman" w:cs="Times New Roman"/>
                <w:sz w:val="24"/>
                <w:szCs w:val="24"/>
                <w:lang w:eastAsia="uk-UA"/>
              </w:rPr>
              <w:br/>
              <w:t>Витрати на зв’язок загальновиробничого персоналу та підрозділів загальновиробничого призначення, які задіяні у виробничих процесах більше ніж одного виду діяльності ліцензіата (витрати поштові, телеграфні, телефонні, телекс, факс, послуги Інтернету та кур’єрської доставки тощо). </w:t>
            </w:r>
            <w:r w:rsidRPr="00D2164B">
              <w:rPr>
                <w:rFonts w:ascii="Times New Roman" w:eastAsia="Times New Roman" w:hAnsi="Times New Roman" w:cs="Times New Roman"/>
                <w:sz w:val="24"/>
                <w:szCs w:val="24"/>
                <w:lang w:eastAsia="uk-UA"/>
              </w:rPr>
              <w:br/>
              <w:t>Витрати на обслуговування оргтехніки та програмного забезпечення служб апарату управління цехами, дільницями та іншого загальновиробничого персоналу. </w:t>
            </w:r>
            <w:r w:rsidRPr="00D2164B">
              <w:rPr>
                <w:rFonts w:ascii="Times New Roman" w:eastAsia="Times New Roman" w:hAnsi="Times New Roman" w:cs="Times New Roman"/>
                <w:sz w:val="24"/>
                <w:szCs w:val="24"/>
                <w:lang w:eastAsia="uk-UA"/>
              </w:rPr>
              <w:br/>
              <w:t>Витрати на підготовку і перепідготовку кадрів апарату управління цехами, дільницями, які задіяні у виробничих процесах більше ніж одного виду діяльності ліцензіата, та іншого загальновиробничого персоналу, що обслуговує виробничі процеси більше ніж одного виду діяльності ліцензіата. </w:t>
            </w:r>
            <w:r w:rsidRPr="00D2164B">
              <w:rPr>
                <w:rFonts w:ascii="Times New Roman" w:eastAsia="Times New Roman" w:hAnsi="Times New Roman" w:cs="Times New Roman"/>
                <w:sz w:val="24"/>
                <w:szCs w:val="24"/>
                <w:lang w:eastAsia="uk-UA"/>
              </w:rPr>
              <w:br/>
              <w:t>Витрати на різні види страхування, пов’язані з виробничими процесами більше ніж одного виду діяльності ліцензіата (цивільно-правової відповідальності, від нещасних випадків на транспорті тощо). </w:t>
            </w:r>
            <w:r w:rsidRPr="00D2164B">
              <w:rPr>
                <w:rFonts w:ascii="Times New Roman" w:eastAsia="Times New Roman" w:hAnsi="Times New Roman" w:cs="Times New Roman"/>
                <w:sz w:val="24"/>
                <w:szCs w:val="24"/>
                <w:lang w:eastAsia="uk-UA"/>
              </w:rPr>
              <w:br/>
              <w:t>Інші загальновиробничі витрати, пов’язані з більше ніж одним видом діяльності ліцензіата</w:t>
            </w:r>
          </w:p>
        </w:tc>
      </w:tr>
    </w:tbl>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4B"/>
    <w:rsid w:val="007725AF"/>
    <w:rsid w:val="00B45A24"/>
    <w:rsid w:val="00C45EC7"/>
    <w:rsid w:val="00D2164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77827-6857-4CAC-B73B-798B2D09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2962">
      <w:bodyDiv w:val="1"/>
      <w:marLeft w:val="0"/>
      <w:marRight w:val="0"/>
      <w:marTop w:val="0"/>
      <w:marBottom w:val="0"/>
      <w:divBdr>
        <w:top w:val="none" w:sz="0" w:space="0" w:color="auto"/>
        <w:left w:val="none" w:sz="0" w:space="0" w:color="auto"/>
        <w:bottom w:val="none" w:sz="0" w:space="0" w:color="auto"/>
        <w:right w:val="none" w:sz="0" w:space="0" w:color="auto"/>
      </w:divBdr>
      <w:divsChild>
        <w:div w:id="345836765">
          <w:marLeft w:val="0"/>
          <w:marRight w:val="0"/>
          <w:marTop w:val="0"/>
          <w:marBottom w:val="150"/>
          <w:divBdr>
            <w:top w:val="none" w:sz="0" w:space="0" w:color="auto"/>
            <w:left w:val="none" w:sz="0" w:space="0" w:color="auto"/>
            <w:bottom w:val="none" w:sz="0" w:space="0" w:color="auto"/>
            <w:right w:val="none" w:sz="0" w:space="0" w:color="auto"/>
          </w:divBdr>
        </w:div>
        <w:div w:id="7440061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rada.gov.ua/laws/show/v1474874-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3061</Words>
  <Characters>1745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2018-09-26T09:06:00Z</dcterms:created>
  <dcterms:modified xsi:type="dcterms:W3CDTF">2018-09-26T09:06:00Z</dcterms:modified>
</cp:coreProperties>
</file>