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9"/>
      </w:tblGrid>
      <w:tr w:rsidR="00173367" w:rsidRPr="00173367" w:rsidTr="00173367">
        <w:tc>
          <w:tcPr>
            <w:tcW w:w="2000" w:type="pct"/>
            <w:shd w:val="clear" w:color="auto" w:fill="auto"/>
            <w:hideMark/>
          </w:tcPr>
          <w:p w:rsidR="00173367" w:rsidRPr="00173367" w:rsidRDefault="00173367" w:rsidP="00173367">
            <w:pPr>
              <w:spacing w:before="150" w:after="150" w:line="240" w:lineRule="auto"/>
              <w:jc w:val="right"/>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br/>
              <w:t>Додаток 16 </w:t>
            </w:r>
            <w:r w:rsidRPr="00173367">
              <w:rPr>
                <w:rFonts w:ascii="Times New Roman" w:eastAsia="Times New Roman" w:hAnsi="Times New Roman" w:cs="Times New Roman"/>
                <w:sz w:val="24"/>
                <w:szCs w:val="24"/>
                <w:lang w:eastAsia="uk-UA"/>
              </w:rPr>
              <w:br/>
              <w:t>до Правил організації та ведення обліку </w:t>
            </w:r>
            <w:r w:rsidRPr="00173367">
              <w:rPr>
                <w:rFonts w:ascii="Times New Roman" w:eastAsia="Times New Roman" w:hAnsi="Times New Roman" w:cs="Times New Roman"/>
                <w:sz w:val="24"/>
                <w:szCs w:val="24"/>
                <w:lang w:eastAsia="uk-UA"/>
              </w:rPr>
              <w:br/>
              <w:t>за ліцензованими видами діяльності </w:t>
            </w:r>
            <w:r w:rsidRPr="00173367">
              <w:rPr>
                <w:rFonts w:ascii="Times New Roman" w:eastAsia="Times New Roman" w:hAnsi="Times New Roman" w:cs="Times New Roman"/>
                <w:sz w:val="24"/>
                <w:szCs w:val="24"/>
                <w:lang w:eastAsia="uk-UA"/>
              </w:rPr>
              <w:br/>
              <w:t>з централізованого водопостачання </w:t>
            </w:r>
            <w:r w:rsidRPr="00173367">
              <w:rPr>
                <w:rFonts w:ascii="Times New Roman" w:eastAsia="Times New Roman" w:hAnsi="Times New Roman" w:cs="Times New Roman"/>
                <w:sz w:val="24"/>
                <w:szCs w:val="24"/>
                <w:lang w:eastAsia="uk-UA"/>
              </w:rPr>
              <w:br/>
              <w:t>та водовідведення </w:t>
            </w:r>
            <w:r w:rsidRPr="00173367">
              <w:rPr>
                <w:rFonts w:ascii="Times New Roman" w:eastAsia="Times New Roman" w:hAnsi="Times New Roman" w:cs="Times New Roman"/>
                <w:sz w:val="24"/>
                <w:szCs w:val="24"/>
                <w:lang w:eastAsia="uk-UA"/>
              </w:rPr>
              <w:br/>
            </w:r>
            <w:bookmarkStart w:id="0" w:name="_GoBack"/>
            <w:bookmarkEnd w:id="0"/>
            <w:r w:rsidRPr="00173367">
              <w:rPr>
                <w:rFonts w:ascii="Times New Roman" w:eastAsia="Times New Roman" w:hAnsi="Times New Roman" w:cs="Times New Roman"/>
                <w:sz w:val="24"/>
                <w:szCs w:val="24"/>
                <w:lang w:eastAsia="uk-UA"/>
              </w:rPr>
              <w:t>(пункт 6.10)</w:t>
            </w:r>
          </w:p>
        </w:tc>
      </w:tr>
    </w:tbl>
    <w:p w:rsidR="00173367" w:rsidRPr="00173367" w:rsidRDefault="00173367" w:rsidP="0017336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395"/>
      <w:bookmarkEnd w:id="1"/>
      <w:r w:rsidRPr="00173367">
        <w:rPr>
          <w:rFonts w:ascii="Times New Roman" w:eastAsia="Times New Roman" w:hAnsi="Times New Roman" w:cs="Times New Roman"/>
          <w:b/>
          <w:bCs/>
          <w:color w:val="000000"/>
          <w:sz w:val="28"/>
          <w:szCs w:val="28"/>
          <w:lang w:eastAsia="uk-UA"/>
        </w:rPr>
        <w:t>ПРИМІРНИЙ ПЕРЕЛІК </w:t>
      </w:r>
      <w:r w:rsidRPr="00173367">
        <w:rPr>
          <w:rFonts w:ascii="Times New Roman" w:eastAsia="Times New Roman" w:hAnsi="Times New Roman" w:cs="Times New Roman"/>
          <w:color w:val="000000"/>
          <w:sz w:val="24"/>
          <w:szCs w:val="24"/>
          <w:lang w:eastAsia="uk-UA"/>
        </w:rPr>
        <w:br/>
      </w:r>
      <w:r w:rsidRPr="00173367">
        <w:rPr>
          <w:rFonts w:ascii="Times New Roman" w:eastAsia="Times New Roman" w:hAnsi="Times New Roman" w:cs="Times New Roman"/>
          <w:b/>
          <w:bCs/>
          <w:color w:val="000000"/>
          <w:sz w:val="28"/>
          <w:szCs w:val="28"/>
          <w:lang w:eastAsia="uk-UA"/>
        </w:rPr>
        <w:t>прямих витрат на централізоване водопостачання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791"/>
        <w:gridCol w:w="6832"/>
      </w:tblGrid>
      <w:tr w:rsidR="00173367" w:rsidRPr="00173367" w:rsidTr="00173367">
        <w:trPr>
          <w:trHeight w:val="3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jc w:val="center"/>
              <w:rPr>
                <w:rFonts w:ascii="Times New Roman" w:eastAsia="Times New Roman" w:hAnsi="Times New Roman" w:cs="Times New Roman"/>
                <w:sz w:val="24"/>
                <w:szCs w:val="24"/>
                <w:lang w:eastAsia="uk-UA"/>
              </w:rPr>
            </w:pPr>
            <w:bookmarkStart w:id="2" w:name="n396"/>
            <w:bookmarkEnd w:id="2"/>
            <w:r w:rsidRPr="00173367">
              <w:rPr>
                <w:rFonts w:ascii="Times New Roman" w:eastAsia="Times New Roman" w:hAnsi="Times New Roman" w:cs="Times New Roman"/>
                <w:sz w:val="24"/>
                <w:szCs w:val="24"/>
                <w:lang w:eastAsia="uk-UA"/>
              </w:rPr>
              <w:t>Статті витрат</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jc w:val="center"/>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Зміст (склад) статей витрат</w:t>
            </w:r>
          </w:p>
        </w:tc>
      </w:tr>
      <w:tr w:rsidR="00173367" w:rsidRPr="00173367" w:rsidTr="00173367">
        <w:trPr>
          <w:trHeight w:val="3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jc w:val="center"/>
              <w:rPr>
                <w:rFonts w:ascii="Times New Roman" w:eastAsia="Times New Roman" w:hAnsi="Times New Roman" w:cs="Times New Roman"/>
                <w:sz w:val="24"/>
                <w:szCs w:val="24"/>
                <w:lang w:eastAsia="uk-UA"/>
              </w:rPr>
            </w:pPr>
            <w:r w:rsidRPr="00173367">
              <w:rPr>
                <w:rFonts w:ascii="Times New Roman" w:eastAsia="Times New Roman" w:hAnsi="Times New Roman" w:cs="Times New Roman"/>
                <w:b/>
                <w:bCs/>
                <w:color w:val="000000"/>
                <w:sz w:val="24"/>
                <w:szCs w:val="24"/>
                <w:lang w:eastAsia="uk-UA"/>
              </w:rPr>
              <w:t>Прямі матеріальні витрати</w:t>
            </w:r>
          </w:p>
        </w:tc>
      </w:tr>
      <w:tr w:rsidR="00173367" w:rsidRPr="00173367" w:rsidTr="00173367">
        <w:trPr>
          <w:trHeight w:val="147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Електроенергія для технологічних потреб</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електроенергію, у тому числі активну і реактивну, використану на основні і допоміжні технологічні процеси централізованого водопостачання (виробництва, транспортування, постачання питної води), а також технічно неминучі втрати при централізованому водопостачанні (передбачені індивідуальним технологічним нормативом використання питної води). Витрати на електричну енергію для технологічних потреб включаються за цінами (тарифами), що діяли протягом звітного періоду, або на рівні фактичної собівартості власного виробництва. </w:t>
            </w:r>
            <w:r w:rsidRPr="00173367">
              <w:rPr>
                <w:rFonts w:ascii="Times New Roman" w:eastAsia="Times New Roman" w:hAnsi="Times New Roman" w:cs="Times New Roman"/>
                <w:sz w:val="24"/>
                <w:szCs w:val="24"/>
                <w:lang w:eastAsia="uk-UA"/>
              </w:rPr>
              <w:br/>
              <w:t>Зокрема включаються витрати на електроенергію, що споживається: </w:t>
            </w:r>
            <w:r w:rsidRPr="00173367">
              <w:rPr>
                <w:rFonts w:ascii="Times New Roman" w:eastAsia="Times New Roman" w:hAnsi="Times New Roman" w:cs="Times New Roman"/>
                <w:sz w:val="24"/>
                <w:szCs w:val="24"/>
                <w:lang w:eastAsia="uk-UA"/>
              </w:rPr>
              <w:br/>
              <w:t xml:space="preserve">обладнанням, встановленим на водозаборах, насосних станціях, повітродувних станціях, очисних спорудах водопроводу, станціях знезараження: насоси різного призначення (насоси систем охолодження, насоси </w:t>
            </w:r>
            <w:proofErr w:type="spellStart"/>
            <w:r w:rsidRPr="00173367">
              <w:rPr>
                <w:rFonts w:ascii="Times New Roman" w:eastAsia="Times New Roman" w:hAnsi="Times New Roman" w:cs="Times New Roman"/>
                <w:sz w:val="24"/>
                <w:szCs w:val="24"/>
                <w:lang w:eastAsia="uk-UA"/>
              </w:rPr>
              <w:t>мастилозмащення</w:t>
            </w:r>
            <w:proofErr w:type="spellEnd"/>
            <w:r w:rsidRPr="00173367">
              <w:rPr>
                <w:rFonts w:ascii="Times New Roman" w:eastAsia="Times New Roman" w:hAnsi="Times New Roman" w:cs="Times New Roman"/>
                <w:sz w:val="24"/>
                <w:szCs w:val="24"/>
                <w:lang w:eastAsia="uk-UA"/>
              </w:rPr>
              <w:t xml:space="preserve">, дренажні насоси, насоси промивні, допоміжні насоси тощо), </w:t>
            </w:r>
            <w:proofErr w:type="spellStart"/>
            <w:r w:rsidRPr="00173367">
              <w:rPr>
                <w:rFonts w:ascii="Times New Roman" w:eastAsia="Times New Roman" w:hAnsi="Times New Roman" w:cs="Times New Roman"/>
                <w:sz w:val="24"/>
                <w:szCs w:val="24"/>
                <w:lang w:eastAsia="uk-UA"/>
              </w:rPr>
              <w:t>збуджувачі</w:t>
            </w:r>
            <w:proofErr w:type="spellEnd"/>
            <w:r w:rsidRPr="00173367">
              <w:rPr>
                <w:rFonts w:ascii="Times New Roman" w:eastAsia="Times New Roman" w:hAnsi="Times New Roman" w:cs="Times New Roman"/>
                <w:sz w:val="24"/>
                <w:szCs w:val="24"/>
                <w:lang w:eastAsia="uk-UA"/>
              </w:rPr>
              <w:t xml:space="preserve"> синхронних електродвигунів; частотні перетворювачі, </w:t>
            </w:r>
            <w:proofErr w:type="spellStart"/>
            <w:r w:rsidRPr="00173367">
              <w:rPr>
                <w:rFonts w:ascii="Times New Roman" w:eastAsia="Times New Roman" w:hAnsi="Times New Roman" w:cs="Times New Roman"/>
                <w:sz w:val="24"/>
                <w:szCs w:val="24"/>
                <w:lang w:eastAsia="uk-UA"/>
              </w:rPr>
              <w:t>випаровувачі</w:t>
            </w:r>
            <w:proofErr w:type="spellEnd"/>
            <w:r w:rsidRPr="00173367">
              <w:rPr>
                <w:rFonts w:ascii="Times New Roman" w:eastAsia="Times New Roman" w:hAnsi="Times New Roman" w:cs="Times New Roman"/>
                <w:sz w:val="24"/>
                <w:szCs w:val="24"/>
                <w:lang w:eastAsia="uk-UA"/>
              </w:rPr>
              <w:t xml:space="preserve"> хлору, ультрафіолетові випромінювачі, озонатори, обладнання для обробки осаду, повітродувні (компресорні) агрегати; </w:t>
            </w:r>
            <w:r w:rsidRPr="00173367">
              <w:rPr>
                <w:rFonts w:ascii="Times New Roman" w:eastAsia="Times New Roman" w:hAnsi="Times New Roman" w:cs="Times New Roman"/>
                <w:sz w:val="24"/>
                <w:szCs w:val="24"/>
                <w:lang w:eastAsia="uk-UA"/>
              </w:rPr>
              <w:br/>
              <w:t xml:space="preserve">для інших потреб централізованого водопостачання: вентиляція, кондиціювання повітря, електроприводи арматури, </w:t>
            </w:r>
            <w:proofErr w:type="spellStart"/>
            <w:r w:rsidRPr="00173367">
              <w:rPr>
                <w:rFonts w:ascii="Times New Roman" w:eastAsia="Times New Roman" w:hAnsi="Times New Roman" w:cs="Times New Roman"/>
                <w:sz w:val="24"/>
                <w:szCs w:val="24"/>
                <w:lang w:eastAsia="uk-UA"/>
              </w:rPr>
              <w:t>електроопалення</w:t>
            </w:r>
            <w:proofErr w:type="spellEnd"/>
            <w:r w:rsidRPr="00173367">
              <w:rPr>
                <w:rFonts w:ascii="Times New Roman" w:eastAsia="Times New Roman" w:hAnsi="Times New Roman" w:cs="Times New Roman"/>
                <w:sz w:val="24"/>
                <w:szCs w:val="24"/>
                <w:lang w:eastAsia="uk-UA"/>
              </w:rPr>
              <w:t xml:space="preserve">, </w:t>
            </w:r>
            <w:proofErr w:type="spellStart"/>
            <w:r w:rsidRPr="00173367">
              <w:rPr>
                <w:rFonts w:ascii="Times New Roman" w:eastAsia="Times New Roman" w:hAnsi="Times New Roman" w:cs="Times New Roman"/>
                <w:sz w:val="24"/>
                <w:szCs w:val="24"/>
                <w:lang w:eastAsia="uk-UA"/>
              </w:rPr>
              <w:t>підйомно</w:t>
            </w:r>
            <w:proofErr w:type="spellEnd"/>
            <w:r w:rsidRPr="00173367">
              <w:rPr>
                <w:rFonts w:ascii="Times New Roman" w:eastAsia="Times New Roman" w:hAnsi="Times New Roman" w:cs="Times New Roman"/>
                <w:sz w:val="24"/>
                <w:szCs w:val="24"/>
                <w:lang w:eastAsia="uk-UA"/>
              </w:rPr>
              <w:t xml:space="preserve">-транспортне обладнання, внутрішнє та зовнішнє освітлення, силові трансформатори, </w:t>
            </w:r>
            <w:proofErr w:type="spellStart"/>
            <w:r w:rsidRPr="00173367">
              <w:rPr>
                <w:rFonts w:ascii="Times New Roman" w:eastAsia="Times New Roman" w:hAnsi="Times New Roman" w:cs="Times New Roman"/>
                <w:sz w:val="24"/>
                <w:szCs w:val="24"/>
                <w:lang w:eastAsia="uk-UA"/>
              </w:rPr>
              <w:t>КВПіА</w:t>
            </w:r>
            <w:proofErr w:type="spellEnd"/>
            <w:r w:rsidRPr="00173367">
              <w:rPr>
                <w:rFonts w:ascii="Times New Roman" w:eastAsia="Times New Roman" w:hAnsi="Times New Roman" w:cs="Times New Roman"/>
                <w:sz w:val="24"/>
                <w:szCs w:val="24"/>
                <w:lang w:eastAsia="uk-UA"/>
              </w:rPr>
              <w:t>, встановлене на об’єктах централізованого водопостачання</w:t>
            </w:r>
          </w:p>
        </w:tc>
      </w:tr>
      <w:tr w:rsidR="00173367" w:rsidRPr="00173367" w:rsidTr="00173367">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Придбання води в інших суб’єктів господарювання</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придбання води в інших суб’єктів господарювання відповідно до укладених договорів та цін (тарифів), що діяли протягом звітного періоду</w:t>
            </w:r>
          </w:p>
        </w:tc>
      </w:tr>
      <w:tr w:rsidR="00173367" w:rsidRPr="00173367" w:rsidTr="00173367">
        <w:trPr>
          <w:trHeight w:val="9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Реагенти для очищення і знезараження питної води</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придбання реагентів для очищення і знезараження питної води, що передбачені технологічним регламентом, з урахуванням якості води, технологічних схем очищення та цін, що діяли протягом звітного періоду, з урахуванням транспортно-</w:t>
            </w:r>
            <w:proofErr w:type="spellStart"/>
            <w:r w:rsidRPr="00173367">
              <w:rPr>
                <w:rFonts w:ascii="Times New Roman" w:eastAsia="Times New Roman" w:hAnsi="Times New Roman" w:cs="Times New Roman"/>
                <w:sz w:val="24"/>
                <w:szCs w:val="24"/>
                <w:lang w:eastAsia="uk-UA"/>
              </w:rPr>
              <w:t>заготовельних</w:t>
            </w:r>
            <w:proofErr w:type="spellEnd"/>
            <w:r w:rsidRPr="00173367">
              <w:rPr>
                <w:rFonts w:ascii="Times New Roman" w:eastAsia="Times New Roman" w:hAnsi="Times New Roman" w:cs="Times New Roman"/>
                <w:sz w:val="24"/>
                <w:szCs w:val="24"/>
                <w:lang w:eastAsia="uk-UA"/>
              </w:rPr>
              <w:t xml:space="preserve"> витрат</w:t>
            </w:r>
          </w:p>
        </w:tc>
      </w:tr>
      <w:tr w:rsidR="00173367" w:rsidRPr="00173367" w:rsidTr="00173367">
        <w:trPr>
          <w:trHeight w:val="87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lastRenderedPageBreak/>
              <w:t>Інші прямі матеріальні витрати</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сировину, матеріали, запасні частини, придбані комплектувальні вироби, напівфабрикати та інші матеріальні ресурси, необхідні для забезпечення основного технологічного процесу централізованого водопостачання, які можуть бути безпосередньо віднесені до централізованого водопостачання</w:t>
            </w:r>
          </w:p>
        </w:tc>
      </w:tr>
      <w:tr w:rsidR="00173367" w:rsidRPr="00173367" w:rsidTr="00173367">
        <w:trPr>
          <w:trHeight w:val="6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jc w:val="center"/>
              <w:rPr>
                <w:rFonts w:ascii="Times New Roman" w:eastAsia="Times New Roman" w:hAnsi="Times New Roman" w:cs="Times New Roman"/>
                <w:sz w:val="24"/>
                <w:szCs w:val="24"/>
                <w:lang w:eastAsia="uk-UA"/>
              </w:rPr>
            </w:pPr>
            <w:r w:rsidRPr="00173367">
              <w:rPr>
                <w:rFonts w:ascii="Times New Roman" w:eastAsia="Times New Roman" w:hAnsi="Times New Roman" w:cs="Times New Roman"/>
                <w:b/>
                <w:bCs/>
                <w:color w:val="000000"/>
                <w:sz w:val="24"/>
                <w:szCs w:val="24"/>
                <w:lang w:eastAsia="uk-UA"/>
              </w:rPr>
              <w:t>Прямі витрати на оплату праці</w:t>
            </w:r>
          </w:p>
        </w:tc>
      </w:tr>
      <w:tr w:rsidR="00173367" w:rsidRPr="00173367" w:rsidTr="00173367">
        <w:trPr>
          <w:trHeight w:val="324"/>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оплату праці виробничого персоналу</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оплату праці працівників, безпосередньо залучених до технологічного процесу централізованого водопостачання, відповідно до </w:t>
            </w:r>
            <w:hyperlink r:id="rId4" w:tgtFrame="_blank" w:history="1">
              <w:r w:rsidRPr="00173367">
                <w:rPr>
                  <w:rFonts w:ascii="Times New Roman" w:eastAsia="Times New Roman" w:hAnsi="Times New Roman" w:cs="Times New Roman"/>
                  <w:color w:val="000099"/>
                  <w:sz w:val="24"/>
                  <w:szCs w:val="24"/>
                  <w:u w:val="single"/>
                  <w:lang w:eastAsia="uk-UA"/>
                </w:rPr>
                <w:t>Закону України</w:t>
              </w:r>
            </w:hyperlink>
            <w:r w:rsidRPr="00173367">
              <w:rPr>
                <w:rFonts w:ascii="Times New Roman" w:eastAsia="Times New Roman" w:hAnsi="Times New Roman" w:cs="Times New Roman"/>
                <w:sz w:val="24"/>
                <w:szCs w:val="24"/>
                <w:lang w:eastAsia="uk-UA"/>
              </w:rPr>
              <w:t> «Про оплату праці»: </w:t>
            </w:r>
            <w:r w:rsidRPr="00173367">
              <w:rPr>
                <w:rFonts w:ascii="Times New Roman" w:eastAsia="Times New Roman" w:hAnsi="Times New Roman" w:cs="Times New Roman"/>
                <w:sz w:val="24"/>
                <w:szCs w:val="24"/>
                <w:lang w:eastAsia="uk-UA"/>
              </w:rPr>
              <w:br/>
              <w:t>витрати на основну заробітну плату виробничого персоналу відповідно до встановлених норм праці (норм часу, виробітку, обслуговування), тарифних ставок (окладів), відрядних розцінок для робітників та посадових окладів для керівників, фахівців, технічних службовців; </w:t>
            </w:r>
            <w:r w:rsidRPr="00173367">
              <w:rPr>
                <w:rFonts w:ascii="Times New Roman" w:eastAsia="Times New Roman" w:hAnsi="Times New Roman" w:cs="Times New Roman"/>
                <w:sz w:val="24"/>
                <w:szCs w:val="24"/>
                <w:lang w:eastAsia="uk-UA"/>
              </w:rPr>
              <w:br/>
              <w:t>витрати на додаткову заробітну плату за працю понад установлені норми, трудові досягнення, особливі умови праці у вигляді доплат і надбавок до тарифних ставок і окладів (доплата за роботу у важких та шкідливих умовах, надурочний час, святкові, неробочі та вихідні дні, нічний час, класність, керівництво бригадами, інші виплати, встановлені законодавством), премій, пов’язаних з виконанням виробничих завдань і функцій, та компенсаційних виплат (виплати за невідпрацьований час, включаючи основні та додаткові відпустки, виконання державних і громадських обов’язків, інші виплати, встановлені законодавством); </w:t>
            </w:r>
            <w:r w:rsidRPr="00173367">
              <w:rPr>
                <w:rFonts w:ascii="Times New Roman" w:eastAsia="Times New Roman" w:hAnsi="Times New Roman" w:cs="Times New Roman"/>
                <w:sz w:val="24"/>
                <w:szCs w:val="24"/>
                <w:lang w:eastAsia="uk-UA"/>
              </w:rPr>
              <w:br/>
              <w:t>витрати на інші заохочувальні та компенсаційні виплати виробничому персоналу (винагороди за підсумками роботи за рік, вислугу років у галузі, інші виплати, встановлені законодавством). </w:t>
            </w:r>
            <w:r w:rsidRPr="00173367">
              <w:rPr>
                <w:rFonts w:ascii="Times New Roman" w:eastAsia="Times New Roman" w:hAnsi="Times New Roman" w:cs="Times New Roman"/>
                <w:sz w:val="24"/>
                <w:szCs w:val="24"/>
                <w:lang w:eastAsia="uk-UA"/>
              </w:rPr>
              <w:br/>
              <w:t>Витрати визначаються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та галузевої угод, колективного договору. </w:t>
            </w:r>
            <w:r w:rsidRPr="00173367">
              <w:rPr>
                <w:rFonts w:ascii="Times New Roman" w:eastAsia="Times New Roman" w:hAnsi="Times New Roman" w:cs="Times New Roman"/>
                <w:sz w:val="24"/>
                <w:szCs w:val="24"/>
                <w:lang w:eastAsia="uk-UA"/>
              </w:rPr>
              <w:br/>
              <w:t>Примірний перелік персоналу наведений в </w:t>
            </w:r>
            <w:hyperlink r:id="rId5" w:anchor="n386" w:history="1">
              <w:r w:rsidRPr="00173367">
                <w:rPr>
                  <w:rFonts w:ascii="Times New Roman" w:eastAsia="Times New Roman" w:hAnsi="Times New Roman" w:cs="Times New Roman"/>
                  <w:color w:val="006600"/>
                  <w:sz w:val="24"/>
                  <w:szCs w:val="24"/>
                  <w:u w:val="single"/>
                  <w:lang w:eastAsia="uk-UA"/>
                </w:rPr>
                <w:t>додатку 13</w:t>
              </w:r>
            </w:hyperlink>
          </w:p>
        </w:tc>
      </w:tr>
      <w:tr w:rsidR="00173367" w:rsidRPr="00173367" w:rsidTr="00173367">
        <w:trPr>
          <w:trHeight w:val="228"/>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jc w:val="center"/>
              <w:rPr>
                <w:rFonts w:ascii="Times New Roman" w:eastAsia="Times New Roman" w:hAnsi="Times New Roman" w:cs="Times New Roman"/>
                <w:sz w:val="24"/>
                <w:szCs w:val="24"/>
                <w:lang w:eastAsia="uk-UA"/>
              </w:rPr>
            </w:pPr>
            <w:r w:rsidRPr="00173367">
              <w:rPr>
                <w:rFonts w:ascii="Times New Roman" w:eastAsia="Times New Roman" w:hAnsi="Times New Roman" w:cs="Times New Roman"/>
                <w:b/>
                <w:bCs/>
                <w:color w:val="000000"/>
                <w:sz w:val="24"/>
                <w:szCs w:val="24"/>
                <w:lang w:eastAsia="uk-UA"/>
              </w:rPr>
              <w:t>Інші прямі витрати</w:t>
            </w:r>
          </w:p>
        </w:tc>
      </w:tr>
      <w:tr w:rsidR="00173367" w:rsidRPr="00173367" w:rsidTr="00173367">
        <w:trPr>
          <w:trHeight w:val="21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Відрахування на загальнообов’язкове державне соціальне страхування</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Єдиний внесок на загальнообов’язкове державне соціальне страхування виробничого персоналу, безпосередньо залученого до технологічного процесу централізованого водопостачання</w:t>
            </w:r>
          </w:p>
        </w:tc>
      </w:tr>
      <w:tr w:rsidR="00173367" w:rsidRPr="00173367" w:rsidTr="00173367">
        <w:trPr>
          <w:trHeight w:val="75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Амортизація</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Амортизація основних засобів, інших необоротних матеріальних і нематеріальних активів виробничого призначення, що безпосередньо забезпечують централізоване водопостачання (примірний перелік основних засобів наведено в </w:t>
            </w:r>
            <w:hyperlink r:id="rId6" w:anchor="n367" w:history="1">
              <w:r w:rsidRPr="00173367">
                <w:rPr>
                  <w:rFonts w:ascii="Times New Roman" w:eastAsia="Times New Roman" w:hAnsi="Times New Roman" w:cs="Times New Roman"/>
                  <w:color w:val="006600"/>
                  <w:sz w:val="24"/>
                  <w:szCs w:val="24"/>
                  <w:u w:val="single"/>
                  <w:lang w:eastAsia="uk-UA"/>
                </w:rPr>
                <w:t>додатку 6</w:t>
              </w:r>
            </w:hyperlink>
            <w:r w:rsidRPr="00173367">
              <w:rPr>
                <w:rFonts w:ascii="Times New Roman" w:eastAsia="Times New Roman" w:hAnsi="Times New Roman" w:cs="Times New Roman"/>
                <w:sz w:val="24"/>
                <w:szCs w:val="24"/>
                <w:lang w:eastAsia="uk-UA"/>
              </w:rPr>
              <w:t>)</w:t>
            </w:r>
          </w:p>
        </w:tc>
      </w:tr>
      <w:tr w:rsidR="00173367" w:rsidRPr="00173367" w:rsidTr="00173367">
        <w:trPr>
          <w:trHeight w:val="75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 xml:space="preserve">Витрати на періодичну повірку, опломбування, обслуговування та ремонт </w:t>
            </w:r>
            <w:r w:rsidRPr="00173367">
              <w:rPr>
                <w:rFonts w:ascii="Times New Roman" w:eastAsia="Times New Roman" w:hAnsi="Times New Roman" w:cs="Times New Roman"/>
                <w:sz w:val="24"/>
                <w:szCs w:val="24"/>
                <w:lang w:eastAsia="uk-UA"/>
              </w:rPr>
              <w:lastRenderedPageBreak/>
              <w:t>(включаючи демонтаж, транспортування і монтаж після повірки) засобів обліку води</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lastRenderedPageBreak/>
              <w:t xml:space="preserve">Витрати на періодичну повірку, опломбування, обслуговування та ремонт (включаючи демонтаж, транспортування і монтаж </w:t>
            </w:r>
            <w:r w:rsidRPr="00173367">
              <w:rPr>
                <w:rFonts w:ascii="Times New Roman" w:eastAsia="Times New Roman" w:hAnsi="Times New Roman" w:cs="Times New Roman"/>
                <w:sz w:val="24"/>
                <w:szCs w:val="24"/>
                <w:lang w:eastAsia="uk-UA"/>
              </w:rPr>
              <w:lastRenderedPageBreak/>
              <w:t>після повірки) засобів обліку води в технологічному процесі централізованого водопостачання</w:t>
            </w:r>
          </w:p>
        </w:tc>
      </w:tr>
      <w:tr w:rsidR="00173367" w:rsidRPr="00173367" w:rsidTr="00173367">
        <w:trPr>
          <w:trHeight w:val="75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lastRenderedPageBreak/>
              <w:t>Витрати на ремонт основних засобів</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ремонт основних засобів, задіяних у процесі централізованого водопостачання, передбачені планом виконання планово-попереджувальних робіт, проектно-кошторисною документацією, кошторисами; витрати, пов’язані з обслуговуванням і експлуатацією виробничих основних засобів</w:t>
            </w:r>
          </w:p>
        </w:tc>
      </w:tr>
      <w:tr w:rsidR="00173367" w:rsidRPr="00173367" w:rsidTr="00173367">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послуги підкачки води сторонніми організаціями</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Витрати на послуги підкачки води, що здійснюють інші суб’єкти господарювання відповідно до укладених договорів</w:t>
            </w:r>
          </w:p>
        </w:tc>
      </w:tr>
      <w:tr w:rsidR="00173367" w:rsidRPr="00173367" w:rsidTr="00173367">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Інші прямі витрати</w:t>
            </w:r>
          </w:p>
        </w:tc>
        <w:tc>
          <w:tcPr>
            <w:tcW w:w="3500" w:type="pct"/>
            <w:tcBorders>
              <w:top w:val="single" w:sz="6" w:space="0" w:color="000000"/>
              <w:left w:val="single" w:sz="6" w:space="0" w:color="000000"/>
              <w:bottom w:val="single" w:sz="6" w:space="0" w:color="000000"/>
              <w:right w:val="single" w:sz="6" w:space="0" w:color="000000"/>
            </w:tcBorders>
            <w:shd w:val="clear" w:color="auto" w:fill="auto"/>
            <w:hideMark/>
          </w:tcPr>
          <w:p w:rsidR="00173367" w:rsidRPr="00173367" w:rsidRDefault="00173367" w:rsidP="00173367">
            <w:pPr>
              <w:spacing w:before="150" w:after="150" w:line="240" w:lineRule="auto"/>
              <w:rPr>
                <w:rFonts w:ascii="Times New Roman" w:eastAsia="Times New Roman" w:hAnsi="Times New Roman" w:cs="Times New Roman"/>
                <w:sz w:val="24"/>
                <w:szCs w:val="24"/>
                <w:lang w:eastAsia="uk-UA"/>
              </w:rPr>
            </w:pPr>
            <w:r w:rsidRPr="00173367">
              <w:rPr>
                <w:rFonts w:ascii="Times New Roman" w:eastAsia="Times New Roman" w:hAnsi="Times New Roman" w:cs="Times New Roman"/>
                <w:sz w:val="24"/>
                <w:szCs w:val="24"/>
                <w:lang w:eastAsia="uk-UA"/>
              </w:rPr>
              <w:t>Усі необхідні виробничі витрати, які включаються до виробничої собівартості та які можуть бути безпосередньо віднесені до витрат на централізоване водопостачання</w:t>
            </w:r>
          </w:p>
        </w:tc>
      </w:tr>
    </w:tbl>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67"/>
    <w:rsid w:val="00173367"/>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39933-6713-48C7-91D3-22671E4B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81067">
      <w:bodyDiv w:val="1"/>
      <w:marLeft w:val="0"/>
      <w:marRight w:val="0"/>
      <w:marTop w:val="0"/>
      <w:marBottom w:val="0"/>
      <w:divBdr>
        <w:top w:val="none" w:sz="0" w:space="0" w:color="auto"/>
        <w:left w:val="none" w:sz="0" w:space="0" w:color="auto"/>
        <w:bottom w:val="none" w:sz="0" w:space="0" w:color="auto"/>
        <w:right w:val="none" w:sz="0" w:space="0" w:color="auto"/>
      </w:divBdr>
      <w:divsChild>
        <w:div w:id="239757010">
          <w:marLeft w:val="0"/>
          <w:marRight w:val="0"/>
          <w:marTop w:val="0"/>
          <w:marBottom w:val="150"/>
          <w:divBdr>
            <w:top w:val="none" w:sz="0" w:space="0" w:color="auto"/>
            <w:left w:val="none" w:sz="0" w:space="0" w:color="auto"/>
            <w:bottom w:val="none" w:sz="0" w:space="0" w:color="auto"/>
            <w:right w:val="none" w:sz="0" w:space="0" w:color="auto"/>
          </w:divBdr>
        </w:div>
        <w:div w:id="96011512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rada.gov.ua/laws/show/v1474874-17" TargetMode="External"/><Relationship Id="rId5" Type="http://schemas.openxmlformats.org/officeDocument/2006/relationships/hyperlink" Target="http://zakon.rada.gov.ua/laws/show/v1474874-17" TargetMode="External"/><Relationship Id="rId4" Type="http://schemas.openxmlformats.org/officeDocument/2006/relationships/hyperlink" Target="http://zakon.rada.gov.ua/laws/show/108/95-%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3740</Words>
  <Characters>2132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2018-09-26T09:05:00Z</dcterms:created>
  <dcterms:modified xsi:type="dcterms:W3CDTF">2018-09-26T09:05:00Z</dcterms:modified>
</cp:coreProperties>
</file>