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BC" w:rsidRPr="006C2CBC" w:rsidRDefault="006C2CBC" w:rsidP="006C2CBC">
      <w:pPr>
        <w:pStyle w:val="a3"/>
        <w:jc w:val="both"/>
      </w:pPr>
      <w:r w:rsidRPr="006C2CBC">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6C2CBC" w:rsidRPr="006C2CBC" w:rsidTr="00627975">
        <w:trPr>
          <w:tblCellSpacing w:w="18" w:type="dxa"/>
        </w:trPr>
        <w:tc>
          <w:tcPr>
            <w:tcW w:w="5000" w:type="pct"/>
            <w:hideMark/>
          </w:tcPr>
          <w:p w:rsidR="006C2CBC" w:rsidRPr="006C2CBC" w:rsidRDefault="006C2CBC" w:rsidP="00627975">
            <w:pPr>
              <w:pStyle w:val="a3"/>
            </w:pPr>
            <w:r w:rsidRPr="006C2CBC">
              <w:t>ЗАТВЕРДЖЕНО</w:t>
            </w:r>
            <w:r w:rsidRPr="006C2CBC">
              <w:br/>
              <w:t>Наказ Міністерства економічного розвитку і торгівлі України</w:t>
            </w:r>
            <w:r w:rsidRPr="006C2CBC">
              <w:br/>
              <w:t>18 травня 2018 року N 683</w:t>
            </w:r>
          </w:p>
        </w:tc>
      </w:tr>
    </w:tbl>
    <w:p w:rsidR="006C2CBC" w:rsidRPr="006C2CBC" w:rsidRDefault="006C2CBC" w:rsidP="006C2CBC">
      <w:pPr>
        <w:pStyle w:val="a3"/>
        <w:jc w:val="both"/>
      </w:pPr>
      <w:r w:rsidRPr="006C2CBC">
        <w:br w:type="textWrapping" w:clear="all"/>
      </w:r>
    </w:p>
    <w:p w:rsidR="006C2CBC" w:rsidRPr="006C2CBC" w:rsidRDefault="006C2CBC" w:rsidP="006C2CBC">
      <w:pPr>
        <w:pStyle w:val="3"/>
        <w:jc w:val="center"/>
        <w:rPr>
          <w:rFonts w:eastAsia="Times New Roman"/>
        </w:rPr>
      </w:pPr>
      <w:r w:rsidRPr="006C2CBC">
        <w:rPr>
          <w:rFonts w:eastAsia="Times New Roman"/>
        </w:rPr>
        <w:t>ПЕРЕЛІК</w:t>
      </w:r>
      <w:r w:rsidRPr="006C2CBC">
        <w:rPr>
          <w:rFonts w:eastAsia="Times New Roman"/>
        </w:rPr>
        <w:br/>
        <w:t>національних стандартів, що ідентичні гармонізованим європейським стандартам та відповідність яким надає презумпцію відповідності іграшок вимогам Технічного регламенту безпечності іграшок, затвердженого постановою Кабінету Міністрів України від 28.02.2018 N 151</w:t>
      </w:r>
    </w:p>
    <w:p w:rsidR="006C2CBC" w:rsidRPr="006C2CBC" w:rsidRDefault="006C2CBC" w:rsidP="006C2CBC">
      <w:pPr>
        <w:pStyle w:val="a3"/>
        <w:jc w:val="both"/>
      </w:pPr>
      <w:r w:rsidRPr="006C2CBC">
        <w:t>До цього переліку включено національні стандарти, що є ідентичними гармонізованим європейським стандартам, у рамках виконання Директиви 2009/48/ЄС Європейського Парламенту та Ради від 18.06.2009 про безпеку іграшок.</w:t>
      </w:r>
    </w:p>
    <w:p w:rsidR="006C2CBC" w:rsidRPr="006C2CBC" w:rsidRDefault="006C2CBC" w:rsidP="006C2CBC">
      <w:pPr>
        <w:pStyle w:val="a3"/>
        <w:jc w:val="both"/>
      </w:pPr>
      <w:r w:rsidRPr="006C2CBC">
        <w:t>Цей перелік сформовано на основі переліку гармонізованих європейських стандартів, опублікованого в Офіційному віснику ЄС 2015/С 378/01 від 13.11.2015.</w:t>
      </w:r>
    </w:p>
    <w:tbl>
      <w:tblPr>
        <w:tblW w:w="0" w:type="auto"/>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82"/>
        <w:gridCol w:w="2840"/>
        <w:gridCol w:w="2099"/>
        <w:gridCol w:w="3235"/>
        <w:gridCol w:w="1950"/>
        <w:gridCol w:w="2247"/>
        <w:gridCol w:w="1969"/>
      </w:tblGrid>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N</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Позначення національного стандарту</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Назва національного стандарту</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Позначення гармонізованого європейського стандарту</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Дата першого опублікування гармонізованого європейського стандарту в Офіційному віснику ЄС</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Позначення заміненого гармонізованого європейського стандарту</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Дата припинення надання презумпції відповідності внаслідок застосування заміненого гармонізованого європейського стандарту</w:t>
            </w:r>
            <w:r w:rsidRPr="006C2CBC">
              <w:br/>
              <w:t>Примітка 1</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3</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6</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7</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lastRenderedPageBreak/>
              <w:t>1.</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71-1:2015</w:t>
            </w:r>
            <w:r w:rsidRPr="006C2CBC">
              <w:br/>
              <w:t>(EN 71-1:2014,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1. Механічні та фізичні властивості</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71-1:2014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13.03.2015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71-1:2011+A3:2014</w:t>
            </w:r>
            <w:r w:rsidRPr="006C2CBC">
              <w:br/>
              <w:t>Примітка 2.1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29.02.2016</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71-2:2017</w:t>
            </w:r>
            <w:r w:rsidRPr="006C2CBC">
              <w:br/>
              <w:t>(EN 71-2:2011+A1:2014,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2. Займистість</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71-2:2011+A1:2014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13.06.2014</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71-2:2011</w:t>
            </w:r>
            <w:r w:rsidRPr="006C2CBC">
              <w:br/>
              <w:t>Примітка 2.1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Дата закінчення (30.09.2014)</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3.</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71-3:2015</w:t>
            </w:r>
            <w:r w:rsidRPr="006C2CBC">
              <w:br/>
              <w:t>(EN 71-3:2013+A1:2014,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3. Міграція певних елементів</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71-3:2013+A1:2014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13.03.2015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71-3:2013</w:t>
            </w:r>
            <w:r w:rsidRPr="006C2CBC">
              <w:br/>
              <w:t>Примітка 2.1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29.02.2016</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4.</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71-4:2015</w:t>
            </w:r>
            <w:r w:rsidRPr="006C2CBC">
              <w:br/>
              <w:t>(EN 71-4:2013,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4. Набори для хімічних дослідів і подібних занять</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71-4:2013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28.05.2013</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5.</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71-5:2017</w:t>
            </w:r>
            <w:r w:rsidRPr="006C2CBC">
              <w:br/>
              <w:t>(EN 71-5:2015,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5. Іграшкові набори, що містять хімічні речовини та не належать до наборів для проведення хімічних дослідів</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71-5:2015</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13.11.2015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71-5:2013</w:t>
            </w:r>
            <w:r w:rsidRPr="006C2CBC">
              <w:br/>
              <w:t>Примітка 2.1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31.05.2016</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6.</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71-7:2015</w:t>
            </w:r>
            <w:r w:rsidRPr="006C2CBC">
              <w:br/>
              <w:t>(EN 71-7:2014,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xml:space="preserve">Безпечність іграшок. Частина 7. Фарби для малювання пальцями. Вимоги </w:t>
            </w:r>
            <w:r w:rsidRPr="006C2CBC">
              <w:lastRenderedPageBreak/>
              <w:t>та методи випробування</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lastRenderedPageBreak/>
              <w:t>EN 71-7:2014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13.06.2014</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7.</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71-8:2015</w:t>
            </w:r>
            <w:r w:rsidRPr="006C2CBC">
              <w:br/>
              <w:t>(EN 71-8:2011,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8. Розвивальні іграшки для домашнього використання</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71-8:2011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19.10.2011</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8.</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71-12:2015</w:t>
            </w:r>
            <w:r w:rsidRPr="006C2CBC">
              <w:br/>
              <w:t>(EN 71-12:2013,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12. N-</w:t>
            </w:r>
            <w:proofErr w:type="spellStart"/>
            <w:r w:rsidRPr="006C2CBC">
              <w:t>нітрозаміни</w:t>
            </w:r>
            <w:proofErr w:type="spellEnd"/>
            <w:r w:rsidRPr="006C2CBC">
              <w:t xml:space="preserve"> та речовини, що можуть перетворюватися на N-</w:t>
            </w:r>
            <w:proofErr w:type="spellStart"/>
            <w:r w:rsidRPr="006C2CBC">
              <w:t>нітрозаміни</w:t>
            </w:r>
            <w:proofErr w:type="spellEnd"/>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71-12:2013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29.06.2013</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9.</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71-13:2015</w:t>
            </w:r>
            <w:r w:rsidRPr="006C2CBC">
              <w:br/>
              <w:t>(EN 71-13:2014,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13. Настільні ігри для вивчення запахів, косметичні набори та ігри для розвитку смакових навичок</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71-13:2014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13.06.2014</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10.</w:t>
            </w:r>
          </w:p>
        </w:tc>
        <w:tc>
          <w:tcPr>
            <w:tcW w:w="9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71-14:2015</w:t>
            </w:r>
            <w:r w:rsidRPr="006C2CBC">
              <w:br/>
              <w:t>(EN 71-14:2014, IDT)</w:t>
            </w:r>
          </w:p>
        </w:tc>
        <w:tc>
          <w:tcPr>
            <w:tcW w:w="70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Безпечність іграшок. Частина 14. Батути для домашнього використання</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71-14:2014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13.03.2015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11.</w:t>
            </w:r>
          </w:p>
        </w:tc>
        <w:tc>
          <w:tcPr>
            <w:tcW w:w="950" w:type="pct"/>
            <w:vMerge w:val="restar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ДСТУ EN 62115:2015</w:t>
            </w:r>
          </w:p>
        </w:tc>
        <w:tc>
          <w:tcPr>
            <w:tcW w:w="700" w:type="pct"/>
            <w:vMerge w:val="restar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Іграшки електричні. Безпека</w:t>
            </w:r>
          </w:p>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 IEC 62115:2003 (Модифікований) + A1:2004</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11.08.2011</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62115:2005/A11:2012/AC:2013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29.06.2013</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62115:2005/A11:2012</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15.11.2012</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Примітка 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Дата закінчення (15.11.2012)</w:t>
            </w:r>
          </w:p>
        </w:tc>
      </w:tr>
      <w:tr w:rsidR="006C2CBC" w:rsidRPr="006C2CBC" w:rsidTr="00627975">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62115:2005/A12:2015</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12.06.2015</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Примітка 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03.06.2017</w:t>
            </w:r>
          </w:p>
        </w:tc>
      </w:tr>
      <w:tr w:rsidR="006C2CBC" w:rsidRPr="006C2CBC" w:rsidTr="00627975">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62115:2005/A2:2011/AC:2011</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19.10.2011</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 </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 </w:t>
            </w:r>
          </w:p>
        </w:tc>
      </w:tr>
      <w:tr w:rsidR="006C2CBC" w:rsidRPr="006C2CBC" w:rsidTr="00627975">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0" w:type="auto"/>
            <w:vMerge/>
            <w:tcBorders>
              <w:top w:val="outset" w:sz="6" w:space="0" w:color="auto"/>
              <w:left w:val="outset" w:sz="6" w:space="0" w:color="auto"/>
              <w:bottom w:val="outset" w:sz="6" w:space="0" w:color="auto"/>
              <w:right w:val="outset" w:sz="6" w:space="0" w:color="auto"/>
            </w:tcBorders>
            <w:vAlign w:val="center"/>
            <w:hideMark/>
          </w:tcPr>
          <w:p w:rsidR="006C2CBC" w:rsidRPr="006C2CBC" w:rsidRDefault="006C2CBC" w:rsidP="00627975"/>
        </w:tc>
        <w:tc>
          <w:tcPr>
            <w:tcW w:w="10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EN 62115:2005/A2:2011</w:t>
            </w:r>
            <w:r w:rsidRPr="006C2CBC">
              <w:br/>
              <w:t>IEC 62115:2003/A2:2010 (Модифікований)</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11.08.2011</w:t>
            </w:r>
          </w:p>
        </w:tc>
        <w:tc>
          <w:tcPr>
            <w:tcW w:w="7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pPr>
            <w:r w:rsidRPr="006C2CBC">
              <w:t>Примітка 3</w:t>
            </w:r>
          </w:p>
        </w:tc>
        <w:tc>
          <w:tcPr>
            <w:tcW w:w="650" w:type="pct"/>
            <w:tcBorders>
              <w:top w:val="outset" w:sz="6" w:space="0" w:color="auto"/>
              <w:left w:val="outset" w:sz="6" w:space="0" w:color="auto"/>
              <w:bottom w:val="outset" w:sz="6" w:space="0" w:color="auto"/>
              <w:right w:val="outset" w:sz="6" w:space="0" w:color="auto"/>
            </w:tcBorders>
            <w:hideMark/>
          </w:tcPr>
          <w:p w:rsidR="006C2CBC" w:rsidRPr="006C2CBC" w:rsidRDefault="006C2CBC" w:rsidP="00627975">
            <w:pPr>
              <w:pStyle w:val="a3"/>
              <w:jc w:val="center"/>
            </w:pPr>
            <w:r w:rsidRPr="006C2CBC">
              <w:t>Дата закінчення (11.08.2011)</w:t>
            </w:r>
          </w:p>
        </w:tc>
      </w:tr>
    </w:tbl>
    <w:p w:rsidR="006C2CBC" w:rsidRPr="006C2CBC" w:rsidRDefault="006C2CBC" w:rsidP="006C2CBC">
      <w:pPr>
        <w:pStyle w:val="a3"/>
        <w:jc w:val="both"/>
      </w:pPr>
      <w:r w:rsidRPr="006C2CBC">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2910"/>
        <w:gridCol w:w="12228"/>
      </w:tblGrid>
      <w:tr w:rsidR="006C2CBC" w:rsidRPr="006C2CBC" w:rsidTr="00627975">
        <w:trPr>
          <w:tblCellSpacing w:w="18" w:type="dxa"/>
        </w:trPr>
        <w:tc>
          <w:tcPr>
            <w:tcW w:w="950" w:type="pct"/>
            <w:hideMark/>
          </w:tcPr>
          <w:p w:rsidR="006C2CBC" w:rsidRPr="006C2CBC" w:rsidRDefault="006C2CBC" w:rsidP="00627975">
            <w:pPr>
              <w:pStyle w:val="a3"/>
            </w:pPr>
            <w:r w:rsidRPr="006C2CBC">
              <w:rPr>
                <w:b/>
                <w:bCs/>
              </w:rPr>
              <w:t>Примітка 1:</w:t>
            </w:r>
          </w:p>
        </w:tc>
        <w:tc>
          <w:tcPr>
            <w:tcW w:w="4050" w:type="pct"/>
            <w:hideMark/>
          </w:tcPr>
          <w:p w:rsidR="006C2CBC" w:rsidRPr="006C2CBC" w:rsidRDefault="006C2CBC" w:rsidP="00627975">
            <w:pPr>
              <w:pStyle w:val="a3"/>
            </w:pPr>
            <w:r w:rsidRPr="006C2CBC">
              <w:t>Дата припинення надання презумпції відповідності внаслідок застосування заміненого стандарту співпадає з датою, з якої він скасовується та яка встановлюється відповідною Європейською організацією зі стандартизації*. Однак у деяких випадках, як виняток, може бути встановлено іншу дату, до настання якої презумпція відповідності надається внаслідок застосування як нового, так і заміненого стандарту**.</w:t>
            </w:r>
          </w:p>
        </w:tc>
      </w:tr>
      <w:tr w:rsidR="006C2CBC" w:rsidRPr="006C2CBC" w:rsidTr="00627975">
        <w:trPr>
          <w:tblCellSpacing w:w="18" w:type="dxa"/>
        </w:trPr>
        <w:tc>
          <w:tcPr>
            <w:tcW w:w="950" w:type="pct"/>
            <w:hideMark/>
          </w:tcPr>
          <w:p w:rsidR="006C2CBC" w:rsidRPr="006C2CBC" w:rsidRDefault="006C2CBC" w:rsidP="00627975">
            <w:pPr>
              <w:pStyle w:val="a3"/>
            </w:pPr>
            <w:r w:rsidRPr="006C2CBC">
              <w:rPr>
                <w:b/>
                <w:bCs/>
              </w:rPr>
              <w:t>Примітка 2.1:</w:t>
            </w:r>
          </w:p>
        </w:tc>
        <w:tc>
          <w:tcPr>
            <w:tcW w:w="4050" w:type="pct"/>
            <w:hideMark/>
          </w:tcPr>
          <w:p w:rsidR="006C2CBC" w:rsidRPr="006C2CBC" w:rsidRDefault="006C2CBC" w:rsidP="00627975">
            <w:pPr>
              <w:pStyle w:val="a3"/>
            </w:pPr>
            <w:r w:rsidRPr="006C2CBC">
              <w:t>Новий стандарт або стандарт із змінами має таку саму сферу застосування, що і замінений стандарт. Із зазначеного терміну припиняється надання презумпції відповідності суттєвим або іншим вимогам відповідного технічного регламенту (</w:t>
            </w:r>
            <w:proofErr w:type="spellStart"/>
            <w:r w:rsidRPr="006C2CBC">
              <w:t>акта</w:t>
            </w:r>
            <w:proofErr w:type="spellEnd"/>
            <w:r w:rsidRPr="006C2CBC">
              <w:t xml:space="preserve"> законодавства ЄС) унаслідок застосування заміненого стандарту.</w:t>
            </w:r>
          </w:p>
        </w:tc>
      </w:tr>
      <w:tr w:rsidR="006C2CBC" w:rsidRPr="006C2CBC" w:rsidTr="00627975">
        <w:trPr>
          <w:tblCellSpacing w:w="18" w:type="dxa"/>
        </w:trPr>
        <w:tc>
          <w:tcPr>
            <w:tcW w:w="950" w:type="pct"/>
            <w:hideMark/>
          </w:tcPr>
          <w:p w:rsidR="006C2CBC" w:rsidRPr="006C2CBC" w:rsidRDefault="006C2CBC" w:rsidP="00627975">
            <w:pPr>
              <w:pStyle w:val="a3"/>
            </w:pPr>
            <w:r w:rsidRPr="006C2CBC">
              <w:rPr>
                <w:b/>
                <w:bCs/>
              </w:rPr>
              <w:t>Примітка 3:</w:t>
            </w:r>
          </w:p>
        </w:tc>
        <w:tc>
          <w:tcPr>
            <w:tcW w:w="4050" w:type="pct"/>
            <w:hideMark/>
          </w:tcPr>
          <w:p w:rsidR="006C2CBC" w:rsidRPr="006C2CBC" w:rsidRDefault="006C2CBC" w:rsidP="00627975">
            <w:pPr>
              <w:pStyle w:val="a3"/>
            </w:pPr>
            <w:r w:rsidRPr="006C2CBC">
              <w:t>У разі прийняття зміни до стандарту стандарт, на який посилаються, є національним (гармонізованим європейським) стандартом з раніше внесеними змінами (за наявності) та новою зазначеною зміною. Тому замінений стандарт є національним (гармонізованим європейським) стандартом із змінами, що були внесені раніше (за наявності), але без нової наведеної зміни. Із зазначеного терміну припиняється надання презумпції відповідності суттєвим або іншим вимогам відповідного технічного регламенту (</w:t>
            </w:r>
            <w:proofErr w:type="spellStart"/>
            <w:r w:rsidRPr="006C2CBC">
              <w:t>акта</w:t>
            </w:r>
            <w:proofErr w:type="spellEnd"/>
            <w:r w:rsidRPr="006C2CBC">
              <w:t xml:space="preserve"> законодавства ЄС) унаслідок застосування заміненого стандарту.</w:t>
            </w:r>
          </w:p>
        </w:tc>
      </w:tr>
    </w:tbl>
    <w:p w:rsidR="006C2CBC" w:rsidRPr="006C2CBC" w:rsidRDefault="006C2CBC" w:rsidP="006C2CBC">
      <w:pPr>
        <w:pStyle w:val="a3"/>
        <w:jc w:val="both"/>
      </w:pPr>
      <w:r w:rsidRPr="006C2CBC">
        <w:br w:type="textWrapping" w:clear="all"/>
      </w:r>
      <w:bookmarkStart w:id="0" w:name="_GoBack"/>
      <w:bookmarkEnd w:id="0"/>
    </w:p>
    <w:p w:rsidR="006C2CBC" w:rsidRPr="006C2CBC" w:rsidRDefault="006C2CBC" w:rsidP="006C2CBC">
      <w:pPr>
        <w:pStyle w:val="a3"/>
        <w:jc w:val="both"/>
        <w:rPr>
          <w:sz w:val="20"/>
          <w:szCs w:val="20"/>
        </w:rPr>
      </w:pPr>
      <w:r w:rsidRPr="006C2CBC">
        <w:lastRenderedPageBreak/>
        <w:t>____________</w:t>
      </w:r>
      <w:r w:rsidRPr="006C2CBC">
        <w:br/>
        <w:t>*</w:t>
      </w:r>
      <w:r w:rsidRPr="006C2CBC">
        <w:rPr>
          <w:sz w:val="20"/>
          <w:szCs w:val="20"/>
        </w:rPr>
        <w:t>Англійською "</w:t>
      </w:r>
      <w:proofErr w:type="spellStart"/>
      <w:r w:rsidRPr="006C2CBC">
        <w:rPr>
          <w:sz w:val="20"/>
          <w:szCs w:val="20"/>
        </w:rPr>
        <w:t>date</w:t>
      </w:r>
      <w:proofErr w:type="spellEnd"/>
      <w:r w:rsidRPr="006C2CBC">
        <w:rPr>
          <w:sz w:val="20"/>
          <w:szCs w:val="20"/>
        </w:rPr>
        <w:t xml:space="preserve"> </w:t>
      </w:r>
      <w:proofErr w:type="spellStart"/>
      <w:r w:rsidRPr="006C2CBC">
        <w:rPr>
          <w:sz w:val="20"/>
          <w:szCs w:val="20"/>
        </w:rPr>
        <w:t>of</w:t>
      </w:r>
      <w:proofErr w:type="spellEnd"/>
      <w:r w:rsidRPr="006C2CBC">
        <w:rPr>
          <w:sz w:val="20"/>
          <w:szCs w:val="20"/>
        </w:rPr>
        <w:t xml:space="preserve"> </w:t>
      </w:r>
      <w:proofErr w:type="spellStart"/>
      <w:r w:rsidRPr="006C2CBC">
        <w:rPr>
          <w:sz w:val="20"/>
          <w:szCs w:val="20"/>
        </w:rPr>
        <w:t>withdrawal</w:t>
      </w:r>
      <w:proofErr w:type="spellEnd"/>
      <w:r w:rsidRPr="006C2CBC">
        <w:rPr>
          <w:sz w:val="20"/>
          <w:szCs w:val="20"/>
        </w:rPr>
        <w:t>" або "</w:t>
      </w:r>
      <w:proofErr w:type="spellStart"/>
      <w:r w:rsidRPr="006C2CBC">
        <w:rPr>
          <w:sz w:val="20"/>
          <w:szCs w:val="20"/>
        </w:rPr>
        <w:t>dow</w:t>
      </w:r>
      <w:proofErr w:type="spellEnd"/>
      <w:r w:rsidRPr="006C2CBC">
        <w:rPr>
          <w:sz w:val="20"/>
          <w:szCs w:val="20"/>
        </w:rPr>
        <w:t>",</w:t>
      </w:r>
    </w:p>
    <w:p w:rsidR="006C2CBC" w:rsidRPr="006C2CBC" w:rsidRDefault="006C2CBC" w:rsidP="006C2CBC">
      <w:pPr>
        <w:pStyle w:val="a3"/>
        <w:jc w:val="both"/>
        <w:rPr>
          <w:sz w:val="20"/>
          <w:szCs w:val="20"/>
        </w:rPr>
      </w:pPr>
      <w:r w:rsidRPr="006C2CBC">
        <w:t xml:space="preserve">** </w:t>
      </w:r>
      <w:r w:rsidRPr="006C2CBC">
        <w:rPr>
          <w:sz w:val="20"/>
          <w:szCs w:val="20"/>
        </w:rPr>
        <w:t>Такі випадки, як виняток, визначаються Європейською Комісією та зумовлені тим, що після скасування гармонізованих європейських стандартів та їх заміни на нові версії на ринку надається продукція, виготовлена відповідно до стандартів, що скасовані.</w:t>
      </w:r>
    </w:p>
    <w:p w:rsidR="006C2CBC" w:rsidRPr="006C2CBC" w:rsidRDefault="006C2CBC" w:rsidP="006C2CBC">
      <w:pPr>
        <w:pStyle w:val="a3"/>
        <w:jc w:val="both"/>
      </w:pPr>
      <w:r w:rsidRPr="006C2CBC">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7569"/>
        <w:gridCol w:w="7569"/>
      </w:tblGrid>
      <w:tr w:rsidR="006C2CBC" w:rsidRPr="006C2CBC" w:rsidTr="00627975">
        <w:trPr>
          <w:tblCellSpacing w:w="18" w:type="dxa"/>
        </w:trPr>
        <w:tc>
          <w:tcPr>
            <w:tcW w:w="2500" w:type="pct"/>
            <w:vAlign w:val="bottom"/>
            <w:hideMark/>
          </w:tcPr>
          <w:p w:rsidR="006C2CBC" w:rsidRPr="006C2CBC" w:rsidRDefault="006C2CBC" w:rsidP="00627975">
            <w:pPr>
              <w:pStyle w:val="a3"/>
              <w:jc w:val="center"/>
            </w:pPr>
            <w:r w:rsidRPr="006C2CBC">
              <w:rPr>
                <w:b/>
                <w:bCs/>
              </w:rPr>
              <w:t>Директор департаменту</w:t>
            </w:r>
            <w:r w:rsidRPr="006C2CBC">
              <w:br/>
            </w:r>
            <w:r w:rsidRPr="006C2CBC">
              <w:rPr>
                <w:b/>
                <w:bCs/>
              </w:rPr>
              <w:t>технічного регулювання</w:t>
            </w:r>
          </w:p>
        </w:tc>
        <w:tc>
          <w:tcPr>
            <w:tcW w:w="2500" w:type="pct"/>
            <w:vAlign w:val="bottom"/>
            <w:hideMark/>
          </w:tcPr>
          <w:p w:rsidR="006C2CBC" w:rsidRPr="006C2CBC" w:rsidRDefault="006C2CBC" w:rsidP="00627975">
            <w:pPr>
              <w:pStyle w:val="a3"/>
              <w:jc w:val="center"/>
            </w:pPr>
            <w:r w:rsidRPr="006C2CBC">
              <w:rPr>
                <w:b/>
                <w:bCs/>
              </w:rPr>
              <w:t xml:space="preserve">Л. М. </w:t>
            </w:r>
            <w:proofErr w:type="spellStart"/>
            <w:r w:rsidRPr="006C2CBC">
              <w:rPr>
                <w:b/>
                <w:bCs/>
              </w:rPr>
              <w:t>Віткін</w:t>
            </w:r>
            <w:proofErr w:type="spellEnd"/>
          </w:p>
        </w:tc>
      </w:tr>
    </w:tbl>
    <w:p w:rsidR="006C2CBC" w:rsidRPr="006C2CBC" w:rsidRDefault="006C2CBC" w:rsidP="006C2CBC">
      <w:pPr>
        <w:pStyle w:val="a3"/>
        <w:jc w:val="both"/>
      </w:pPr>
      <w:r w:rsidRPr="006C2CBC">
        <w:br w:type="textWrapping" w:clear="all"/>
      </w:r>
    </w:p>
    <w:p w:rsidR="007725AF" w:rsidRPr="006C2CBC" w:rsidRDefault="007725AF"/>
    <w:sectPr w:rsidR="007725AF" w:rsidRPr="006C2CBC" w:rsidSect="006C2CB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BC"/>
    <w:rsid w:val="006C2CBC"/>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8714B-7087-462F-A82C-7BC0496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CBC"/>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6C2C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2CBC"/>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6C2C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3223</Words>
  <Characters>1838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2018-09-21T08:07:00Z</dcterms:created>
  <dcterms:modified xsi:type="dcterms:W3CDTF">2018-09-21T08:08:00Z</dcterms:modified>
</cp:coreProperties>
</file>