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60" w:rsidRDefault="007D3460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</w:pPr>
      <w:bookmarkStart w:id="0" w:name="n14"/>
      <w:bookmarkStart w:id="1" w:name="_GoBack"/>
      <w:bookmarkEnd w:id="0"/>
      <w:bookmarkEnd w:id="1"/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</w:pP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ЗАТВЕРДЖЕНО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Наказ Міністерства регіонального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розвитку, будівництва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та житлово-комунального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господарства України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10 квітня 2018 року № 86</w:t>
      </w:r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</w:pP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Зареєстровано в Міністерстві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юстиції України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11 липня 2018 р.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за № 804/32256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41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МЕТОДИКА 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визначення технологічних нормативів витрат та втрат гарячої води у системах централізованого постачання гарячої води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15"/>
      <w:bookmarkEnd w:id="2"/>
      <w:r w:rsidRPr="00B3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І. Загальні положення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16"/>
      <w:bookmarkEnd w:id="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Ця Методика встановлює механізм визначення технологічних нормативів витрат та втрат холодної та гарячої води у системах централізованого постачання гарячої води (далі - ЦПГВ).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7"/>
      <w:bookmarkEnd w:id="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Ця Методика дає змогу проводити розподіл між обсягами технологічних нормативів витрат та втрат гарячої і холодної води при виробництві гарячої води у центральних або індивідуальних теплових пунктах (далі - ЦТП або ІТП) та/або котельнях, транспортуванні та наданні послуг з ЦПГВ.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18"/>
      <w:bookmarkEnd w:id="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Ця Методика поширюється на юридичних осіб незалежно від організаційно-правових форм та форми власності і підпорядкування та фізичних осіб, у власності, господарському віданні, оперативному управлінні, оренді або у концесії яких перебувають об’єкти сфери теплопостачання, у тому числі гарячого водопостачання (далі - суб’єкти господарювання).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19"/>
      <w:bookmarkEnd w:id="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Ця Методика не застосовується для визначення втрат холодної води у зовнішніх та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внутрішньобудинкових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системах централізованого водопостачання, крім води, витраченої на технологічні процеси в ЦТП/(ІТП) та/або котельнях.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20"/>
      <w:bookmarkEnd w:id="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Ця Методика не застосовується для визначення втрат тепла з мереж ЦПГВ. Витрати теплової енергії на потреби систем ЦПГВ визначають згідно з КТМ 204 України 244-94 «Норми та вказівки по нормуванню витрат палива та теплової енергії на опалення житлових та громадських споруд, а також на господарсько-побутові потреби України».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21"/>
      <w:bookmarkEnd w:id="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У цій Методиці терміни вживаються у таких значеннях: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22"/>
      <w:bookmarkEnd w:id="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виконавець послуги з ЦПГВ - суб’єкт господарювання, предметом діяльності якого є надання послуги з ЦПГВ споживачам відповідно до умов договору;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23"/>
      <w:bookmarkEnd w:id="1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виробник послуг з ЦПГВ - суб’єкт господарювання, який виробляє послугу з ЦПГВ;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24"/>
      <w:bookmarkEnd w:id="1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витоки води - мимовільне витікання води з різних частин мережі гарячого водопостачання при порушенні її цілісності або герметичності;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25"/>
      <w:bookmarkEnd w:id="1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втрати води - сукупність усіх видів витоків при виробництві, транспортуванні та постачанні гарячої води, у тому числі явних та невиявлених, а також необлікованих втрат гарячої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26"/>
      <w:bookmarkEnd w:id="1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гаряча вода - питна вода, підігріта до температури, визначеної </w:t>
      </w:r>
      <w:hyperlink r:id="rId4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Правилами технічної експлуатації теплових установок і мереж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затвердженими наказом Міністерства палива та енергетики України від 14 лютого 2007 року № 71, зареєстрованими в Міністерстві юстиції України 05 березня 2007 року за № 197/13464;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27"/>
      <w:bookmarkEnd w:id="1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засоби технологічного обліку об’ємів гарячої води - засоби обліку води та витратоміри (лічильники), які встановлюються на об’єктах теплопостачання (ЦТП, ІТП, котельнях) та забезпечують облік поданої гарячої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28"/>
      <w:bookmarkEnd w:id="1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індивідуальні технологічні нормативи використання води (далі - індивідуальні ТНВВ) - технологічні нормативи використання води для її виробництва та постачання в систему ЦПГВ, установлені для кожного суб’єкта господарювання окремо;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29"/>
      <w:bookmarkEnd w:id="1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необліковані втрати води - втрати води, які виникають внаслідок недосконалості роботи обладнання або відсутності вузлів комерційного обліку;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7" w:name="n30"/>
      <w:bookmarkEnd w:id="1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перспективні індивідуальні ТНВВ - нормативи, яких передбачається досягти за рахунок удосконалення технологічних процесів виробництва та транспортування гарячої води в результаті впровадження енергоефективних технологій кожним суб’єктом господарювання окремо;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31"/>
      <w:bookmarkEnd w:id="1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поточні індивідуальні ТНВВ - технологічні нормативи використання води для виробництва та постачання в систему ЦПГВ, які встановлюються для кожного суб’єкта господарювання окремо на основі аналізу існуючого стану;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n32"/>
      <w:bookmarkEnd w:id="1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витрати води - обсяги витрат води при виробництві, транспортуванні та постачанні гарячої води, витрати на власні господарсько-побутові потреби суб’єкта господарювання, обсяги яких встановлені цією Методикою та затверджені технологічним регламентом суб’єкта господарювання;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33"/>
      <w:bookmarkEnd w:id="2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холодна вода - питна вода, що надходить із систем централізованого постачання холодної води під заданим тиском в ЦТП, ІТП та/або котельні для підігріву з подальшим використанням її для господарсько-побутових та технологічних потреб, а також для надання послуг з ЦПГВ;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1" w:name="n34"/>
      <w:bookmarkEnd w:id="2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уповноважений орган - орган місцевого самоврядування, який встановлює нормативи витрат та втрат гарячої та холодної води в системах ЦПГВ для суб’єктів господарювання на підвідомчій території.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35"/>
      <w:bookmarkEnd w:id="2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Інші терміни вживаються у значеннях, наведених у </w:t>
      </w:r>
      <w:hyperlink r:id="rId5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Водному кодексі України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Законах України </w:t>
      </w:r>
      <w:hyperlink r:id="rId6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«Про питну воду, питне водопостачання та водовідведення»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7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«Про комерційний облік теплової енергії та водопостачання»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8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«Про державне регулювання у сфері комунальних послуг»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9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«Про житлово-комунальні послуги»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10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«Про теплопостачання»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постанові Кабінету Міністрів України від 01 червня 2011 року </w:t>
      </w:r>
      <w:hyperlink r:id="rId11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№ 869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«Про забезпечення єдиного підходу до формування тарифів на житлово-комунальні послуги», </w:t>
      </w:r>
      <w:hyperlink r:id="rId12" w:anchor="n21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затвердженому наказом Міністерства регіонального розвитку, будівництва та житлово-комунального господарства України від 25 червня 2014 року № 179, зареєстрованому у Міністерстві юстиції України 03 вересня 2014 року за № 1062/25839, </w:t>
      </w:r>
      <w:hyperlink r:id="rId13" w:anchor="n14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Методиці розрахунку втрат питної води підприємствами, які надають послуги з централізованого водопостачання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затвердженій наказом Міністерства регіонального розвитку, будівництва та житлово-комунального господарства України від 25 червня 2014 року № 180, зареєстрованій у Міністерстві юстиції України 03 вересня 2014 року за № 1063/25840, </w:t>
      </w:r>
      <w:hyperlink r:id="rId14" w:anchor="n14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Методиці розрахунку технологічних витрат питної води підприємствами, які надають послуги з централізованого водопостачання та/або водовідведення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затвердженій наказом Міністерства регіонального розвитку, будівництва та житлово-комунального господарства України від 25 червня 2014 року № 181, зареєстрованій у Міністерстві юстиції України 03 вересня 2014 року за № 1064/25841, </w:t>
      </w:r>
      <w:hyperlink r:id="rId15" w:tgtFrame="_blank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Правилах технічної експлуатації теплових установок і мереж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затверджених наказом Міністерства палива та енергетики України від 14 лютого 2007 року № 71, зареєстрованих у Міністерстві юстиції України 05 березня 2007 року за № 197/13464.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3" w:name="n36"/>
      <w:bookmarkEnd w:id="23"/>
      <w:r w:rsidRPr="00B3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ІІ. Індивідуальні ТНВВ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37"/>
      <w:bookmarkEnd w:id="2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При визначенні індивідуальних ТНВВ усі їх складові приводяться до 1000 м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bdr w:val="none" w:sz="0" w:space="0" w:color="auto" w:frame="1"/>
          <w:lang w:eastAsia="uk-UA"/>
        </w:rPr>
        <w:t>-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3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загального обсягу води, що надійшов до системи ЦПГВ за фактичними даними надання послуг з ЦПГВ за останній рік, та позначаються як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Q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заг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5" w:name="n38"/>
      <w:bookmarkEnd w:id="2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Технологічні нормативи використання води поділяються на: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39"/>
      <w:bookmarkEnd w:id="2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поточні індивідуальні;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7" w:name="n40"/>
      <w:bookmarkEnd w:id="2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перспективні індивідуальні.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8" w:name="n41"/>
      <w:bookmarkEnd w:id="2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Індивідуальні ТНВВ встановлюються для: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42"/>
      <w:bookmarkEnd w:id="2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витрат гарячої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0" w:name="n43"/>
      <w:bookmarkEnd w:id="3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витрат холодної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1" w:name="n44"/>
      <w:bookmarkEnd w:id="3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 гарячої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45"/>
      <w:bookmarkEnd w:id="3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 холодної води.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3" w:name="n46"/>
      <w:bookmarkEnd w:id="3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4. Поточні індивідуальні технологічні нормативи втрат води не повинні перевищувати граничнодопустимих значень, які встановлюються органами місцевого самоврядування.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4" w:name="n47"/>
      <w:bookmarkEnd w:id="3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Цільове значення технологічних нормативів використання води та строки їх досягнення встановлюються органами місцевого самоврядування.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5" w:name="n48"/>
      <w:bookmarkEnd w:id="3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Перспективні індивідуальні технологічні нормативи втрат води (W) розраховуються суб’єктом господарювання виходячи з умов досягнення цільового значення технологічних нормативів використання води, яке встановлює орган місцевого самоврядування,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6" w:name="n49"/>
      <w:bookmarkEnd w:id="36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64B98C3D" wp14:editId="25141167">
            <wp:extent cx="2918460" cy="502920"/>
            <wp:effectExtent l="0" t="0" r="0" b="0"/>
            <wp:docPr id="41" name="Рисунок 41" descr="http://zakon0.rada.gov.ua/laws/file/imgs/65/p476631n49.bmp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kon0.rada.gov.ua/laws/file/imgs/65/p476631n49.bmp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869"/>
        <w:gridCol w:w="154"/>
        <w:gridCol w:w="8302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n50"/>
            <w:bookmarkEnd w:id="37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пер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проміжок часу до досягнення цільового значення технологічних нормативів використання води, роки;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поп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тривалість періоду, на який були затверджені попередні значення поточних індивідуальних ТНВВ, роки;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W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пер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цільове значення технологічних нормативів використання води,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W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поп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попередньо затверджені поточні індивідуальні ТНВВ,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8" w:name="n51"/>
      <w:bookmarkEnd w:id="3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7. У разі якщо заплановано суттєву зміну технологічних режимів, додатково можуть бути встановлені перспективні індивідуальні технологічні нормативи витрат води, що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9" w:name="n52"/>
      <w:bookmarkEnd w:id="39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3D45E2D7" wp14:editId="204E45BE">
            <wp:extent cx="2964180" cy="441960"/>
            <wp:effectExtent l="0" t="0" r="7620" b="0"/>
            <wp:docPr id="42" name="Рисунок 42" descr="http://zakon0.rada.gov.ua/laws/file/imgs/65/p476631n52-1.bmp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akon0.rada.gov.ua/laws/file/imgs/65/p476631n52-1.bmp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75"/>
        <w:gridCol w:w="80"/>
        <w:gridCol w:w="8373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n53"/>
            <w:bookmarkEnd w:id="40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пер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проміжок часу до реалізації проекту, роки;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поп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тривалість періоду, на який були затверджені попередні значення поточних індивідуальних ТНВВ, роки;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W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пер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цільове значення, що буде досягнуте після реалізації проекту,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W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поп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попередньо затверджені поточні індивідуальні ТНВВ,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1" w:name="n54"/>
      <w:bookmarkEnd w:id="4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 Поточні індивідуальні технологічні нормативи витрат води розраховуються з урахуванням особливостей виробництва та транспортування гарячої води, передбачених у технологічному регламенті суб’єкта господарювання.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2" w:name="n55"/>
      <w:bookmarkEnd w:id="4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9. Визначення індивідуальних ТНВВ здійснюється суб’єктами господарювання самостійно або на підставі договорів з іншими суб’єктами господарювання, укладених відповідно до чинного законодавства.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3" w:name="n56"/>
      <w:bookmarkEnd w:id="4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10. Для встановлення індивідуальних ТНВВ суб’єкт господарювання подає уповноваженому органу такі документи: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4" w:name="n57"/>
      <w:bookmarkEnd w:id="4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розрахунок індивідуальних ТНВВ у паперовому вигляді (сторінки нумеруються, прошиваються та підписуються уповноваженою особою суб’єкта господарювання);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5" w:name="n58"/>
      <w:bookmarkEnd w:id="4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документи, що підтверджують достовірність вихідних даних (дані звітності, довідки, за необхідності - проектні матеріали), а також (за необхідності) план заходів, спрямованих на підвищення ефективності використання гарячої води суб’єктом господарювання, із зазначенням показників перспективних індивідуальних ТНВВ (за роками); при повторному погодженні суб’єкт господарювання надає звіт про результати виконання зазначеного плану заходів;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6" w:name="n59"/>
      <w:bookmarkEnd w:id="4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3) фактичні дані технологічних витрат і втрат, зафіксовані засобами технологічного обліку об’ємів гарячої води та вузлами комерційного обліку (за їх наявності) за останній рік. 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При значній відмінності фактично виміряних і розрахованих поточних індивідуальних ТНВВ рішення щодо застосування того чи іншого значення приймає уповноважений орган.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7" w:name="n60"/>
      <w:bookmarkEnd w:id="4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11. Поточні індивідуальні ТНВВ суб’єкта господарювання встановлюються уповноваженим органом відповідно до законодавства строком на два роки (як загальний для гарячої та холодної води) з обов’язковим визначенням окремо індивідуального ТНВВ для гарячої води.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8" w:name="n61"/>
      <w:bookmarkEnd w:id="4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12. Якщо протягом строку дії перспективних індивідуальних ТНВВ значення поточних індивідуальних ТНВВ не досягло їх рівня, уповноважений орган приймає рішення щодо встановлення нових (або інших) поточних індивідуальних ТНВВ.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9" w:name="n62"/>
      <w:bookmarkEnd w:id="4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13. Підставою для дострокового перегляду або внесення змін до індивідуальних ТНВВ суб’єкта господарювання можуть бути: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0" w:name="n63"/>
      <w:bookmarkEnd w:id="5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зміни у чинному законодавстві;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1" w:name="n64"/>
      <w:bookmarkEnd w:id="5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зміна технології виробництва гарячої води;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2" w:name="n65"/>
      <w:bookmarkEnd w:id="5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зміни в технічному стані та кількості мереж і споруд системи ЦПГВ (збільшення чи зменшення кількості мереж і споруд на 10 і більше відсотків від загальної кількості мереж і споруд);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3" w:name="n66"/>
      <w:bookmarkEnd w:id="5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значна відмінність фактично виміряних і розрахованих індивідуальних ТНВВ;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4" w:name="n67"/>
      <w:bookmarkEnd w:id="5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зміна кількості засобів комерційного обліку об’ємів гарячої води (не менше ніж на 10 %).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5" w:name="n68"/>
      <w:bookmarkEnd w:id="55"/>
      <w:r w:rsidRPr="00B3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ІІІ. Визначення індивідуальних технологічних нормативів витрат води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6" w:name="n69"/>
      <w:bookmarkEnd w:id="5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Витоки води при виробництві та підігріві води розраховуються окремо в кожному конкретному випадку з урахуванням технологічної схеми забору і підготовки води, переліку і стану наявних споруд, наявної запірної арматури тощо.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7" w:name="n70"/>
      <w:bookmarkEnd w:id="5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Окремі складові технологічних нормативів витрат та втрат води розподіляються відповідно до меж балансової належності місць, де вони утворились. Втрати з трубопроводів та втрати на вузлах комерційного обліку покладаються на виконавця послуги з ЦПГВ; втрати на ЦТП та/або котельнях, та/або насосному обладнанні - на виробника або виконавця послуги з ЦПГВ.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8" w:name="n71"/>
      <w:bookmarkEnd w:id="5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Технологічні нормативи витрат холодної та гарячої води виробника послуг з ЦПГВ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вир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формулами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9" w:name="n72"/>
      <w:bookmarkEnd w:id="59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3D1C3469" wp14:editId="7AAB3FC1">
            <wp:extent cx="3322320" cy="350520"/>
            <wp:effectExtent l="0" t="0" r="0" b="0"/>
            <wp:docPr id="43" name="Рисунок 43" descr="http://zakon0.rada.gov.ua/laws/file/imgs/65/p476631n72-2.bmp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akon0.rada.gov.ua/laws/file/imgs/65/p476631n72-2.bmp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1126"/>
        <w:gridCol w:w="80"/>
        <w:gridCol w:w="8123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n73"/>
            <w:bookmarkEnd w:id="60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7E1385F8" wp14:editId="2A40CEE8">
                  <wp:extent cx="502920" cy="198120"/>
                  <wp:effectExtent l="0" t="0" r="0" b="0"/>
                  <wp:docPr id="44" name="Рисунок 44" descr="http://zakon0.rada.gov.ua/laws/file/imgs/65/p476631n73-3.e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zakon0.rada.gov.ua/laws/file/imgs/65/p476631n73-3.emf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технологічні нормативи витрат холодної води для власних господарсько-побутових потреб ЦТП та/або 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котелень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4E077587" wp14:editId="2F03CD02">
                  <wp:extent cx="350520" cy="236220"/>
                  <wp:effectExtent l="0" t="0" r="0" b="0"/>
                  <wp:docPr id="45" name="Рисунок 45" descr="http://zakon0.rada.gov.ua/laws/file/imgs/65/p476631n73-4.e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zakon0.rada.gov.ua/laws/file/imgs/65/p476631n73-4.em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холодної води для транспортування,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0F348E64" wp14:editId="0A853CDB">
                  <wp:extent cx="487680" cy="259080"/>
                  <wp:effectExtent l="0" t="0" r="7620" b="7620"/>
                  <wp:docPr id="46" name="Рисунок 46" descr="http://zakon0.rada.gov.ua/laws/file/imgs/65/p476631n73-5.e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zakon0.rada.gov.ua/laws/file/imgs/65/p476631n73-5.emf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холодної води для виробництва гарячої води, зокрема для промивання теплообмінників та баків-акумуляторів після хімічного або механічного очищення,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1" w:name="n74"/>
      <w:bookmarkEnd w:id="61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6E475DB4" wp14:editId="306D9809">
            <wp:extent cx="2659380" cy="320040"/>
            <wp:effectExtent l="0" t="0" r="7620" b="3810"/>
            <wp:docPr id="47" name="Рисунок 47" descr="http://zakon0.rada.gov.ua/laws/file/imgs/65/p476631n74-6.bmp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zakon0.rada.gov.ua/laws/file/imgs/65/p476631n74-6.bmp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993"/>
        <w:gridCol w:w="80"/>
        <w:gridCol w:w="8256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n75"/>
            <w:bookmarkEnd w:id="62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42E2B841" wp14:editId="22BDDE1F">
                  <wp:extent cx="480060" cy="198120"/>
                  <wp:effectExtent l="0" t="0" r="0" b="0"/>
                  <wp:docPr id="48" name="Рисунок 48" descr="http://zakon0.rada.gov.ua/laws/file/imgs/65/p476631n75-7.e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zakon0.rada.gov.ua/laws/file/imgs/65/p476631n75-7.emf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технологічні нормативи витрат гарячої води для власних господарсько-побутових потреб ЦТП та/або 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котелень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0EC364D1" wp14:editId="1C2B6E35">
                  <wp:extent cx="365760" cy="228600"/>
                  <wp:effectExtent l="0" t="0" r="0" b="0"/>
                  <wp:docPr id="49" name="Рисунок 49" descr="http://zakon0.rada.gov.ua/laws/file/imgs/65/p476631n75-8.em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zakon0.rada.gov.ua/laws/file/imgs/65/p476631n75-8.emf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гарячої води для транспортування,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3" w:name="n76"/>
      <w:bookmarkEnd w:id="6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Якщо у ЦТП та/або котельнях встановлено засіб технологічного обліку об’ємів гарячої води для господарсько-побутових потреб ЦТП та/або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котелень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технологічні нормативи витрат гарячої води для власних господарсько-побутових потреб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власн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показаннями цього засобу обліку, у разі його відсутності - за формулами, наведеними нижче. Фактичні дані, які було отримано за засобами обліку, використовують у випадку, коли вони не перевищують розрахункового нормативу.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4" w:name="n77"/>
      <w:bookmarkEnd w:id="6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холодної води для власних господарсько-побутових потреб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власн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5" w:name="n78"/>
      <w:bookmarkEnd w:id="65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lastRenderedPageBreak/>
        <w:drawing>
          <wp:inline distT="0" distB="0" distL="0" distR="0" wp14:anchorId="78FF592C" wp14:editId="5CCA59D8">
            <wp:extent cx="5173980" cy="518160"/>
            <wp:effectExtent l="0" t="0" r="7620" b="0"/>
            <wp:docPr id="50" name="Рисунок 50" descr="http://zakon0.rada.gov.ua/laws/file/imgs/65/p476631n78-9.bmp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zakon0.rada.gov.ua/laws/file/imgs/65/p476631n78-9.bmp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963"/>
        <w:gridCol w:w="80"/>
        <w:gridCol w:w="8283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n79"/>
            <w:bookmarkEnd w:id="66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р-дітп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робочих днів інженерно-технічних працівників за останній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р-дроб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робочих днів робітників за останній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ітп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інженерно-технічних працівників, які безпосередньо задіяні в процесі виробництва та постачання гарячої води, осіб;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роб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робітників, які безпосередньо задіяні в процесі виробництва та постачання гарячої води, осіб;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0,009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 використання холодної води одним інженерно-технічним працівником на добу,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0,014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 використання холодної води одним робітником на добу,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7" w:name="n80"/>
      <w:bookmarkEnd w:id="6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гарячої води для власних господарсько-побутових потреб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власн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8" w:name="n81"/>
      <w:bookmarkEnd w:id="68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770CF67A" wp14:editId="0EEBBEAB">
            <wp:extent cx="5082540" cy="502920"/>
            <wp:effectExtent l="0" t="0" r="3810" b="0"/>
            <wp:docPr id="51" name="Рисунок 51" descr="http://zakon0.rada.gov.ua/laws/file/imgs/65/p476631n81-10.bmp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akon0.rada.gov.ua/laws/file/imgs/65/p476631n81-10.bmp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951"/>
        <w:gridCol w:w="120"/>
        <w:gridCol w:w="8256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n82"/>
            <w:bookmarkEnd w:id="69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р-дітп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робочих днів інженерно-технічних працівників за останній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р-дроб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робочих днів робітників за останній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ітп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інженерно-технічних працівників, які безпосередньо задіяні в процесі виробництва та постачання гарячої води, осіб;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роб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робітників, які безпосередньо задіяні в процесі виробництва та постачання гарячої води, осіб;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0,006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 використання гарячої води одним інженерно-технічним працівником на добу,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0,011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 використання гарячої води одним робітником на добу,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0" w:name="n83"/>
      <w:bookmarkEnd w:id="7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Технологічні нормативи витрат холодної та гарячої води для транспортування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тр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формулами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1" w:name="n84"/>
      <w:bookmarkEnd w:id="71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47588C26" wp14:editId="47AC1F99">
            <wp:extent cx="2499360" cy="365760"/>
            <wp:effectExtent l="0" t="0" r="0" b="0"/>
            <wp:docPr id="52" name="Рисунок 52" descr="http://zakon0.rada.gov.ua/laws/file/imgs/65/p476631n84-11.bmp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akon0.rada.gov.ua/laws/file/imgs/65/p476631n84-11.bmp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860"/>
        <w:gridCol w:w="120"/>
        <w:gridCol w:w="8345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" w:name="n85"/>
            <w:bookmarkEnd w:id="72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2B0561F3" wp14:editId="47D389B0">
                  <wp:extent cx="342900" cy="198120"/>
                  <wp:effectExtent l="0" t="0" r="0" b="0"/>
                  <wp:docPr id="53" name="Рисунок 53" descr="http://zakon0.rada.gov.ua/laws/file/imgs/65/p476631n85-12.emf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zakon0.rada.gov.ua/laws/file/imgs/65/p476631n85-12.emf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холодної води в розподільних мережах,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088B8072" wp14:editId="4A687D14">
                  <wp:extent cx="342900" cy="198120"/>
                  <wp:effectExtent l="0" t="0" r="0" b="0"/>
                  <wp:docPr id="54" name="Рисунок 54" descr="http://zakon0.rada.gov.ua/laws/file/imgs/65/p476631n85-13.em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zakon0.rada.gov.ua/laws/file/imgs/65/p476631n85-13.em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холодної води для власних потреб насосних станцій та насосних груп,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3" w:name="n86"/>
      <w:bookmarkEnd w:id="73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6ACB4EBB" wp14:editId="057063FF">
            <wp:extent cx="2430780" cy="297180"/>
            <wp:effectExtent l="0" t="0" r="7620" b="7620"/>
            <wp:docPr id="55" name="Рисунок 55" descr="http://zakon0.rada.gov.ua/laws/file/imgs/65/p476631n86-14.bmp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zakon0.rada.gov.ua/laws/file/imgs/65/p476631n86-14.bmp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853"/>
        <w:gridCol w:w="80"/>
        <w:gridCol w:w="8393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n87"/>
            <w:bookmarkEnd w:id="74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14985A6A" wp14:editId="2D14E237">
                  <wp:extent cx="335280" cy="205740"/>
                  <wp:effectExtent l="0" t="0" r="7620" b="3810"/>
                  <wp:docPr id="56" name="Рисунок 56" descr="http://zakon0.rada.gov.ua/laws/file/imgs/65/p476631n87-15.emf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zakon0.rada.gov.ua/laws/file/imgs/65/p476631n87-15.emf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гарячої води в розподільних мережах,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33D15F5D" wp14:editId="5025EFEA">
                  <wp:extent cx="365760" cy="198120"/>
                  <wp:effectExtent l="0" t="0" r="0" b="0"/>
                  <wp:docPr id="57" name="Рисунок 57" descr="http://zakon0.rada.gov.ua/laws/file/imgs/65/p476631n87-16.emf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zakon0.rada.gov.ua/laws/file/imgs/65/p476631n87-16.emf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технологічні нормативи витрат гарячої води для власних потреб насосних станцій та насосних груп,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5" w:name="n88"/>
      <w:bookmarkEnd w:id="7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Технологічні нормативи витрат холодної та гарячої води в розподільних мережах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м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складаються з витрат для планового промивання, дезінфекції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м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та заповнення мереж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м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6" w:name="n89"/>
      <w:bookmarkEnd w:id="7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холодної води на промивання та дезінфекцію трубопроводів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м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7" w:name="n90"/>
      <w:bookmarkEnd w:id="77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24437E0" wp14:editId="1CFFCF4D">
            <wp:extent cx="3474720" cy="533400"/>
            <wp:effectExtent l="0" t="0" r="0" b="0"/>
            <wp:docPr id="58" name="Рисунок 58" descr="http://zakon0.rada.gov.ua/laws/file/imgs/65/p476631n90-17.bmp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zakon0.rada.gov.ua/laws/file/imgs/65/p476631n90-17.bmp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782"/>
        <w:gridCol w:w="80"/>
        <w:gridCol w:w="8465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8" w:name="n91"/>
            <w:bookmarkEnd w:id="78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планових промивань трубопроводів за рік, од. Приймається за фактичними даними минулого року, але не більше 2 промивань на рік. За наявності відповідних приписів Державної служби України з питань безпечності харчових продуктів та захисту споживачів можливе збільшення кількості промивань мереж;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d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діаметр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трубопроводу, 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V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швидкість води при гідравлічному промиванні, м/с. Приймається на рівні 1,5 м/с або за фактичними даними;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фактичний час промивання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ділянки, год. За відсутності даних приймається час промивання трубопроводів не більше 2 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2826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для перерахунку секунд на години та врахування сталої величини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π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/4 (2826 = 3600 х 3,14 / 4);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9" w:name="n92"/>
      <w:bookmarkEnd w:id="7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гарячої води на заповнення трубопроводу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м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0" w:name="n93"/>
      <w:bookmarkEnd w:id="80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E202BA0" wp14:editId="3FEC9803">
            <wp:extent cx="3192780" cy="525780"/>
            <wp:effectExtent l="0" t="0" r="7620" b="7620"/>
            <wp:docPr id="59" name="Рисунок 59" descr="http://zakon0.rada.gov.ua/laws/file/imgs/65/p476631n93-18.bmp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zakon0.rada.gov.ua/laws/file/imgs/65/p476631n93-18.bmp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54"/>
        <w:gridCol w:w="80"/>
        <w:gridCol w:w="8394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n94"/>
            <w:bookmarkEnd w:id="81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планових промивань трубопроводів за рік, од. Приймається за фактичними даними минулого року, але не більше 2 промивань на рік. За наявності відповідних приписів Державної служби України з питань безпечності харчових продуктів та захисту споживачів можливе збільшення кількості промивань мереж;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d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діаметр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трубопроводу, 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L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протяжність промивної ділянки в однотрубному вимірі, м. Для водоводів протяжність промивних ділянок приймається за фактичними даними або вважається рівною протяжності промивних ділянок;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0,785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коефіцієнт, що враховує перерахунок сталої величини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π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/4 (3,14 / 4 = 0,785);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2" w:name="n95"/>
      <w:bookmarkEnd w:id="8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7. Технологічні нормативи витрат води для власних потреб насосних станцій та насосних груп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складаються з витрат води для охолодження підшипників насосів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та протікання через сальникові ущільнення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3" w:name="n96"/>
      <w:bookmarkEnd w:id="8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холодної води на охолодження підшипників насосів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4" w:name="n97"/>
      <w:bookmarkEnd w:id="84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lastRenderedPageBreak/>
        <w:drawing>
          <wp:inline distT="0" distB="0" distL="0" distR="0" wp14:anchorId="033642CB" wp14:editId="055AD8C1">
            <wp:extent cx="2118360" cy="579120"/>
            <wp:effectExtent l="0" t="0" r="0" b="0"/>
            <wp:docPr id="60" name="Рисунок 60" descr="http://zakon0.rada.gov.ua/laws/file/imgs/65/p476631n97-19.bmp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zakon0.rada.gov.ua/laws/file/imgs/65/p476631n97-19.bmp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44"/>
        <w:gridCol w:w="172"/>
        <w:gridCol w:w="8312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5" w:name="n98"/>
            <w:bookmarkEnd w:id="85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холодної води для охолодження підшипників одного насоса,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/год. Приймаються за паспортними даними;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фактичний час роботи насоса, год/рік;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6" w:name="n99"/>
      <w:bookmarkEnd w:id="8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Технологічні нормативи витрат гарячої води на протікання через сальникові ущільнення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7" w:name="n100"/>
      <w:bookmarkEnd w:id="87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53AD0990" wp14:editId="6C0DBF3F">
            <wp:extent cx="2103120" cy="457200"/>
            <wp:effectExtent l="0" t="0" r="0" b="0"/>
            <wp:docPr id="61" name="Рисунок 61" descr="http://zakon0.rada.gov.ua/laws/file/imgs/65/p476631n100-20.bmp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akon0.rada.gov.ua/laws/file/imgs/65/p476631n100-20.bmp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891"/>
        <w:gridCol w:w="80"/>
        <w:gridCol w:w="8358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n101"/>
            <w:bookmarkEnd w:id="88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гарячої води на протікання через сальникові ущільнення,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/год. Приймаються за паспортними даними, а за їх відсутності не більше 2 л/год;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фактичний час роботи насоса, год/рік;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9" w:name="n102"/>
      <w:bookmarkEnd w:id="8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 Технологічні нормативи витрат холодної води для виробництва гарячої води, зокрема для промивання теплообмінників та/або баків акумуляторів після хімічного або механічного очищення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пром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0" w:name="n103"/>
      <w:bookmarkEnd w:id="90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3054AC69" wp14:editId="4718809E">
            <wp:extent cx="2240280" cy="464820"/>
            <wp:effectExtent l="0" t="0" r="7620" b="0"/>
            <wp:docPr id="62" name="Рисунок 62" descr="http://zakon0.rada.gov.ua/laws/file/imgs/65/p476631n103-21.bmp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zakon0.rada.gov.ua/laws/file/imgs/65/p476631n103-21.bmp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793"/>
        <w:gridCol w:w="80"/>
        <w:gridCol w:w="8456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n104"/>
            <w:bookmarkEnd w:id="91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холодної води, який витрачається на одне промивання обладнання в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-му ЦТП, що підтверджується актом промивання, м</w:t>
            </w:r>
            <w:r w:rsidRPr="00B3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Визначається за фактичними даними, за даними паспорта обладнання або за технічним регламентом експлуатації системи;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промивань одиниці обладнання за рік, од. Приймається за фактичними даними минулого року, але не більше 2 промивань на рік. За наявності відповідних приписів Державної служби України з питань безпечності харчових продуктів та захисту споживачів можливе збільшення кількості промивань обладнання;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2" w:name="n105"/>
      <w:bookmarkEnd w:id="9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9. У разі проведення заходів з доочищення води, яка забирається з системи централізованого водопостачання (фільтрація, освітлення тощо), технологічні нормативи витрат гарячої води виробника послуг з ЦПГВ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Д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пром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визначаються відповідно до регламенту роботи суб’єкта господарювання або розраховуються за паспортними даними обладнання за формулою, наведеною у пункті 8 цього розділу.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3" w:name="n106"/>
      <w:bookmarkEnd w:id="93"/>
      <w:r w:rsidRPr="00B3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ІV. Визначення індивідуальних технологічних нормативів втрат води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4" w:name="n107"/>
      <w:bookmarkEnd w:id="9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Технологічні нормативи втрат холодної та гарячої води складаються з: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5" w:name="n108"/>
      <w:bookmarkEnd w:id="9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 води, які пов’язані з витіканням води при аваріях;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6" w:name="n109"/>
      <w:bookmarkEnd w:id="9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 води при промиванні мереж після ліквідації аварії;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7" w:name="n110"/>
      <w:bookmarkEnd w:id="9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схованих втрат води, які виникають через протікання води зі свищів та стиків трубопроводів;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8" w:name="n111"/>
      <w:bookmarkEnd w:id="9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втрат води через арматуру.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9" w:name="n112"/>
      <w:bookmarkEnd w:id="99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Технологічні нормативи втрат гарячої води з трубопроводів при аваріях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ав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включають витоки гарячої води під час аварії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ав1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та втрати води для промивання трубопроводів і їх дезінфекції після ліквідації аварії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ав2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0" w:name="n113"/>
      <w:bookmarkEnd w:id="10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3. Розрахунок технологічних нормативів втрат гарячої води, пов’язаних з її витіканням з трубопроводів при аваріях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ав1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здійснюється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1" w:name="n114"/>
      <w:bookmarkEnd w:id="101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3B67137C" wp14:editId="7F26DFB4">
            <wp:extent cx="3246120" cy="495300"/>
            <wp:effectExtent l="0" t="0" r="0" b="0"/>
            <wp:docPr id="63" name="Рисунок 63" descr="http://zakon0.rada.gov.ua/laws/file/imgs/65/p476631n114-22.bmp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zakon0.rada.gov.ua/laws/file/imgs/65/p476631n114-22.bmp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976"/>
        <w:gridCol w:w="80"/>
        <w:gridCol w:w="8274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n115"/>
            <w:bookmarkEnd w:id="102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аварій в мережі за рік, од.;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витікання води до локалізації аварії, 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ω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жива площа перерізу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i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-го отвору, тріщини або розлому,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2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H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середньозважений тиск на заданій ділянці, зареєстрований на тепловому пункті за останній звітний рік, м вод. ст.;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9568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коефіцієнт, що розраховується таким чином: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3" w:name="n174"/>
      <w:bookmarkEnd w:id="103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7C633FA1" wp14:editId="24E0E92B">
            <wp:extent cx="4488180" cy="304800"/>
            <wp:effectExtent l="0" t="0" r="7620" b="0"/>
            <wp:docPr id="64" name="Рисунок 64" descr="http://zakon0.rada.gov.ua/laws/file/imgs/65/p476631n174-23.bmp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akon0.rada.gov.ua/laws/file/imgs/65/p476631n174-23.bmp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932"/>
        <w:gridCol w:w="80"/>
        <w:gridCol w:w="8313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n117"/>
            <w:bookmarkEnd w:id="104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перерахунку секунд у години;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μ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швидкості витікання рідини з затоплених малих отворів,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μ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= 0,6;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g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стала величина прискорення вільного падіння, 9,806 м/с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2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5" w:name="n118"/>
      <w:bookmarkEnd w:id="10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відсутності фактичних даних час витікання води до локалізації аварії приймається 0,5 год.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6" w:name="n119"/>
      <w:bookmarkEnd w:id="10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Площа перерізу (</w:t>
      </w:r>
      <w:proofErr w:type="spellStart"/>
      <w:r w:rsidRPr="00B3414F">
        <w:rPr>
          <w:rFonts w:ascii="Arial Unicode MS" w:eastAsia="Times New Roman" w:hAnsi="Arial Unicode MS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ω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i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визначається за типом руйнування трубопроводу. У випадках свищів, зруйнованих стиків або сальників приймається фактична площа отвору або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7" w:name="n120"/>
      <w:bookmarkEnd w:id="107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68CFD8D" wp14:editId="639DE134">
            <wp:extent cx="1165860" cy="243840"/>
            <wp:effectExtent l="0" t="0" r="0" b="3810"/>
            <wp:docPr id="65" name="Рисунок 65" descr="http://zakon0.rada.gov.ua/laws/file/imgs/65/p476631n120-24.bmp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zakon0.rada.gov.ua/laws/file/imgs/65/p476631n120-24.bmp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8" w:name="n121"/>
      <w:bookmarkEnd w:id="10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витіканні води з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тріщин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трубах допускається приймати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9" w:name="n122"/>
      <w:bookmarkEnd w:id="109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69E7B9A6" wp14:editId="2B896CFA">
            <wp:extent cx="1607820" cy="220980"/>
            <wp:effectExtent l="0" t="0" r="0" b="7620"/>
            <wp:docPr id="66" name="Рисунок 66" descr="http://zakon0.rada.gov.ua/laws/file/imgs/65/p476631n122-25.bmp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zakon0.rada.gov.ua/laws/file/imgs/65/p476631n122-25.bmp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698"/>
        <w:gridCol w:w="80"/>
        <w:gridCol w:w="8547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n123"/>
            <w:bookmarkEnd w:id="110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d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діаметр трубопроводу на заданій ділянці, м.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1" w:name="n124"/>
      <w:bookmarkEnd w:id="11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витіканні з переломів у трубах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2" w:name="n125"/>
      <w:bookmarkEnd w:id="112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79CA14AE" wp14:editId="534793EE">
            <wp:extent cx="1562100" cy="259080"/>
            <wp:effectExtent l="0" t="0" r="0" b="7620"/>
            <wp:docPr id="67" name="Рисунок 67" descr="http://zakon0.rada.gov.ua/laws/file/imgs/65/p476631n125-26.bmp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zakon0.rada.gov.ua/laws/file/imgs/65/p476631n125-26.bmp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3" w:name="n126"/>
      <w:bookmarkEnd w:id="113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Співвідношення типів руйнування визначається за фактичними даними експлуатації, а за їх відсутності приймається таке співвідношення: зі свищами - 75 %, з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тріщинами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- 20 %, з переломом - 5 %.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4" w:name="n127"/>
      <w:bookmarkEnd w:id="11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випадках просадних ґрунтів співвідношення може бути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переглянуто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кількість аварій, пов’язаних з переломами, може бути збільшена до 10 %.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5" w:name="n128"/>
      <w:bookmarkEnd w:id="11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Розрахунок технологічних нормативів втрат холодної води для промивання мереж після ліквідації аварії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ХВ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ав2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здійснюється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6" w:name="n129"/>
      <w:bookmarkEnd w:id="116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58884F52" wp14:editId="59D4E2CE">
            <wp:extent cx="3162300" cy="541020"/>
            <wp:effectExtent l="0" t="0" r="0" b="0"/>
            <wp:docPr id="68" name="Рисунок 68" descr="http://zakon0.rada.gov.ua/laws/file/imgs/65/p476631n129-27.bmp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zakon0.rada.gov.ua/laws/file/imgs/65/p476631n129-27.bmp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876"/>
        <w:gridCol w:w="80"/>
        <w:gridCol w:w="8371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n130"/>
            <w:bookmarkEnd w:id="117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d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діаметр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трубопроводу, 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V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швидкість води при гідравлічному промиванні, м/с. Приймається на рівні 1,5 м/с або за фактичними даними;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фактичний час промивання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ділянки, год. За відсутності даних приймається час промивання трубопроводів не більше 2 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для перерахунку секунд у години та врахування сталої величини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π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/4 (2826 = 3600 х 3,14 / 4);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8" w:name="n131"/>
      <w:bookmarkEnd w:id="118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Розрахунок технологічних нормативів втрат гарячої води для заповнення мереж після ліквідації аварії () здійснюється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9" w:name="n132"/>
      <w:bookmarkEnd w:id="119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057DD3A" wp14:editId="2AC3BA5C">
            <wp:extent cx="2735580" cy="487680"/>
            <wp:effectExtent l="0" t="0" r="7620" b="7620"/>
            <wp:docPr id="69" name="Рисунок 69" descr="http://zakon0.rada.gov.ua/laws/file/imgs/65/p476631n132-28.bmp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zakon0.rada.gov.ua/laws/file/imgs/65/p476631n132-28.bmp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1000"/>
        <w:gridCol w:w="80"/>
        <w:gridCol w:w="8247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n133"/>
            <w:bookmarkEnd w:id="120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d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діаметр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трубопроводу, 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L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протяжність промивної ділянки трубопроводу в однотрубному вимірі, м. Для водоводів протяжність промивних ділянок приймається за фактичними даними або вважається рівною протяжності ремонтних ділянок;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0,785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коефіцієнт, що враховує перерахунок сталої величини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π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/4 (3,14 / 4 = 0,785);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1" w:name="n134"/>
      <w:bookmarkEnd w:id="12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Сховані витоки гарячої води з трубопроводів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сх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включають витоки, пов’язані з протіканням води через стики і стінки сталевих трубопроводів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сх1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та витоки, пов’язані з наявністю невиявлених свищів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сх2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2" w:name="n135"/>
      <w:bookmarkEnd w:id="122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Технологічні нормативи втрат гарячої води, пов’язані з протіканнями води через стики і стінки сталевих трубопроводів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сх1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3" w:name="n136"/>
      <w:bookmarkEnd w:id="123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45CEA4C8" wp14:editId="6603A037">
            <wp:extent cx="4069080" cy="525780"/>
            <wp:effectExtent l="0" t="0" r="7620" b="7620"/>
            <wp:docPr id="70" name="Рисунок 70" descr="http://zakon0.rada.gov.ua/laws/file/imgs/65/p476631n136-29.bmp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zakon0.rada.gov.ua/laws/file/imgs/65/p476631n136-29.bmp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820"/>
        <w:gridCol w:w="126"/>
        <w:gridCol w:w="8330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n137"/>
            <w:bookmarkEnd w:id="124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діб роботи системи гарячого водопостачання за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режим роботи системи ЦПГВ, год/добу;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L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j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довжина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сталевого трубопроводу в однотрубному вимірі, км;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допустимий рівень витрат води, л/хв. Допустимий рівень витрат води з нових сталевих трубопроводів завдовжки 1 км (при тиску 60 м вод. ст.) приймається згідно з </w:t>
            </w:r>
            <w:hyperlink r:id="rId76" w:anchor="n163" w:history="1">
              <w:r w:rsidRPr="00B341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uk-UA"/>
                </w:rPr>
                <w:t>додатком 1</w:t>
              </w:r>
            </w:hyperlink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до цієї Методики;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для переведення л/хв у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H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середньозважений тиск на заданій ділянці, зареєстрований на тепловому пункті за останній звітний рік, м вод. ст.;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тиск, при якому проводяться гідравлічні випробування, м вод. ст.;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коефіцієнт, який залежить від строку експлуатації сталевих трубопроводів, типу стиків. Значення К можуть бути визначені експериментальним шляхом.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5" w:name="n138"/>
      <w:bookmarkEnd w:id="12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відсутності експериментальних даних його значення приймається згідно з </w:t>
      </w:r>
      <w:hyperlink r:id="rId77" w:anchor="n167" w:history="1">
        <w:r w:rsidRPr="00B341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додатком 2</w:t>
        </w:r>
      </w:hyperlink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 цієї Методики.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6" w:name="n139"/>
      <w:bookmarkEnd w:id="12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7. Технологічні нормативи втрат гарячої води через невиявлені свищі на сталевих трубопроводах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сх2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7" w:name="n140"/>
      <w:bookmarkEnd w:id="127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239454AA" wp14:editId="469B94F3">
            <wp:extent cx="3947160" cy="464820"/>
            <wp:effectExtent l="0" t="0" r="0" b="0"/>
            <wp:docPr id="71" name="Рисунок 71" descr="http://zakon0.rada.gov.ua/laws/file/imgs/65/p476631n140-30.bmp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zakon0.rada.gov.ua/laws/file/imgs/65/p476631n140-30.bmp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979"/>
        <w:gridCol w:w="80"/>
        <w:gridCol w:w="8268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n141"/>
            <w:bookmarkEnd w:id="128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св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невиявлених свищів, од.;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витікання гарячої води через невиявлені свищі протягом доби, год;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днів роботи системи ЦПГВ за рік,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ω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площа отвору свища. За відсутності фактичних даних становить 2 х 10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-4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2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9568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коефіцієнт, що розраховується таким чином: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9" w:name="n142"/>
      <w:bookmarkEnd w:id="129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C80D4FA" wp14:editId="2AA1E10F">
            <wp:extent cx="4488180" cy="304800"/>
            <wp:effectExtent l="0" t="0" r="7620" b="0"/>
            <wp:docPr id="72" name="Рисунок 72" descr="http://zakon0.rada.gov.ua/laws/file/imgs/65/p476631n142-31.bmp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zakon0.rada.gov.ua/laws/file/imgs/65/p476631n142-31.bmp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991"/>
        <w:gridCol w:w="80"/>
        <w:gridCol w:w="8258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n143"/>
            <w:bookmarkEnd w:id="130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перерахунку секунд у години;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μ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коефіцієнт швидкості витікання рідини з затоплених малих отворів, </w:t>
            </w: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μ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= 0,6;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g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стала величина прискорення вільного падіння, 9,806 м/с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2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H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середньозважений тиск на заданій ділянці, зареєстрований на тепловому пункті за останній звітний рік, м вод. ст.;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1" w:name="n144"/>
      <w:bookmarkEnd w:id="131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Кількість невиявлених свищів оцінюється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2" w:name="n145"/>
      <w:bookmarkEnd w:id="132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45773EC8" wp14:editId="6E62248D">
            <wp:extent cx="1645920" cy="190500"/>
            <wp:effectExtent l="0" t="0" r="0" b="0"/>
            <wp:docPr id="73" name="Рисунок 73" descr="http://zakon0.rada.gov.ua/laws/file/imgs/65/p476631n145-32.bmp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zakon0.rada.gov.ua/laws/file/imgs/65/p476631n145-32.bmp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1015"/>
        <w:gridCol w:w="87"/>
        <w:gridCol w:w="8224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3" w:name="n146"/>
            <w:bookmarkEnd w:id="133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0,0007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статистичний коефіцієнт, який враховує ймовірність 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невиявлення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утвореного свища протягом 1 року;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аварій за рік, приведена до довжини розподільної мережі, од/км. Приймається за фактичними даними минулого року, але не більше 2 аварій на 1 км сталевих трубопроводів в однотрубному вимірі;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середньозважений строк експлуатації трубопроводу, роки. Визначається за формулою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4" w:name="n147"/>
      <w:bookmarkEnd w:id="134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AB04ED5" wp14:editId="03EC0AB6">
            <wp:extent cx="1432560" cy="525780"/>
            <wp:effectExtent l="0" t="0" r="0" b="7620"/>
            <wp:docPr id="74" name="Рисунок 74" descr="http://zakon0.rada.gov.ua/laws/file/imgs/65/p476631n147-33.emf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zakon0.rada.gov.ua/laws/file/imgs/65/p476631n147-33.emf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820"/>
        <w:gridCol w:w="126"/>
        <w:gridCol w:w="8330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n148"/>
            <w:bookmarkEnd w:id="135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L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j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довжина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j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сталевого трубопроводу в однотрубному вимірі, км;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j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експлуатації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j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ділянки сталевого трубопроводу, роки.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6" w:name="n149"/>
      <w:bookmarkEnd w:id="136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 Витоки гарячої води через нещільності арматури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арм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складаються з протікань води через ущільнення арматури при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несправностях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арм1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та просочувань води через закриту арматуру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арм2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7" w:name="n150"/>
      <w:bookmarkEnd w:id="137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9. Технологічні нормативи втрат гарячої води через ущільнення арматури при 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несправностях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арм1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8" w:name="n151"/>
      <w:bookmarkEnd w:id="138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lastRenderedPageBreak/>
        <w:drawing>
          <wp:inline distT="0" distB="0" distL="0" distR="0" wp14:anchorId="28CD027E" wp14:editId="168272EC">
            <wp:extent cx="2423160" cy="457200"/>
            <wp:effectExtent l="0" t="0" r="0" b="0"/>
            <wp:docPr id="75" name="Рисунок 75" descr="http://zakon0.rada.gov.ua/laws/file/imgs/65/p476631n151-34.bmp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zakon0.rada.gov.ua/laws/file/imgs/65/p476631n151-34.bmp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834"/>
        <w:gridCol w:w="158"/>
        <w:gridCol w:w="8339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n152"/>
            <w:bookmarkEnd w:id="139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 роботи запірної арматури, діб;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Arial Unicode MS" w:eastAsia="Times New Roman" w:hAnsi="Arial Unicode MS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δ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арматури, яка має протікання. При невідомій кількості приймається значення 0,03;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одиниць арматури, од.;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 втрати води через ущільнення мережевої арматури,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/добу. Показник </w:t>
            </w: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оцінюється</w:t>
            </w:r>
            <w:proofErr w:type="spellEnd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фактичними даними, за їх відсутності приймається на рівні 0,5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 для труб з діаметром до 100 мм; 2,15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 для труб з діаметром від 100 до 200 мм; 4,3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 для труб з діаметром 200 мм і більше;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0" w:name="n153"/>
      <w:bookmarkEnd w:id="140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10. Технологічні нормативи втрат гарячої води, пов’язані з просочуванням через закриту арматуру (W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арм2</w:t>
      </w:r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розраховуються з паспортних даних арматури з урахуванням фактичного часу закриття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1" w:name="n154"/>
      <w:bookmarkEnd w:id="141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5BE56FB1" wp14:editId="5ACCFC39">
            <wp:extent cx="2209800" cy="426720"/>
            <wp:effectExtent l="0" t="0" r="0" b="0"/>
            <wp:docPr id="76" name="Рисунок 76" descr="http://zakon0.rada.gov.ua/laws/file/imgs/65/p476631n154-35.bmp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zakon0.rada.gov.ua/laws/file/imgs/65/p476631n154-35.bmp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673"/>
        <w:gridCol w:w="80"/>
        <w:gridCol w:w="8572"/>
      </w:tblGrid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n155"/>
            <w:bookmarkEnd w:id="142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 період перебування запірної арматури в закритому стані відповідно до регламенту роботи обладнання, діб/рік;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закритих одиниць арматури, які перебувають в експлуатації на розподільній мережі гарячого водопостачання (крім можливих резервних ліній), од.;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n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допустимий рівень протікання води через закриту арматуру (з паспортних даних), м</w:t>
            </w:r>
            <w:r w:rsidRPr="00B3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/добу. За відсутності даних приймаються на рівні 4 л/год (0,096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/добу);</w:t>
            </w:r>
          </w:p>
        </w:tc>
      </w:tr>
      <w:tr w:rsidR="00B3414F" w:rsidRPr="00B3414F" w:rsidTr="00B3414F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</w:tc>
      </w:tr>
    </w:tbl>
    <w:p w:rsidR="00B3414F" w:rsidRPr="00B3414F" w:rsidRDefault="00B3414F" w:rsidP="00B3414F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3" w:name="n156"/>
      <w:bookmarkEnd w:id="143"/>
      <w:r w:rsidRPr="00B3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V. Визначення необлікованих втрат гарячої води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4" w:name="n157"/>
      <w:bookmarkEnd w:id="144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Втрати гарячої води, які не обліковані вузлами комерційного обліку об’ємів гарячої води, визначаються для виробника послуг з ЦПГВ. Необліковані втрати води розраховуються для всіх вузлів комерційного обліку об’ємів гарячої води.</w:t>
      </w:r>
    </w:p>
    <w:p w:rsidR="00B3414F" w:rsidRPr="00B3414F" w:rsidRDefault="00B3414F" w:rsidP="00B3414F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5" w:name="n158"/>
      <w:bookmarkEnd w:id="145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Технологічні нормативи втрат гарячої води, які не обліковані вузлами комерційного обліку, виникають внаслідок розбору гарячої води нижче порогу чутливості вимірювальної техніки (</w:t>
      </w:r>
      <w:proofErr w:type="spellStart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uk-UA"/>
        </w:rPr>
        <w:t>ГВ</w:t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bscript"/>
          <w:lang w:eastAsia="uk-UA"/>
        </w:rPr>
        <w:t>но</w:t>
      </w:r>
      <w:proofErr w:type="spellEnd"/>
      <w:r w:rsidRPr="00B341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і розраховуються за формулою</w:t>
      </w:r>
    </w:p>
    <w:p w:rsidR="00B3414F" w:rsidRPr="00B3414F" w:rsidRDefault="00B3414F" w:rsidP="00B341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6" w:name="n159"/>
      <w:bookmarkEnd w:id="146"/>
      <w:r w:rsidRPr="00B3414F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BFAC3ED" wp14:editId="282EB024">
            <wp:extent cx="2964180" cy="464820"/>
            <wp:effectExtent l="0" t="0" r="7620" b="0"/>
            <wp:docPr id="77" name="Рисунок 77" descr="http://zakon0.rada.gov.ua/laws/file/imgs/65/p476631n159-36.bmp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zakon0.rada.gov.ua/laws/file/imgs/65/p476631n159-36.bmp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2805"/>
        <w:gridCol w:w="181"/>
        <w:gridCol w:w="5868"/>
      </w:tblGrid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n160"/>
            <w:bookmarkEnd w:id="147"/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uk-UA"/>
              </w:rPr>
              <w:drawing>
                <wp:inline distT="0" distB="0" distL="0" distR="0" wp14:anchorId="2E3B20C8" wp14:editId="6BFC04C2">
                  <wp:extent cx="297180" cy="220980"/>
                  <wp:effectExtent l="0" t="0" r="7620" b="7620"/>
                  <wp:docPr id="78" name="Рисунок 78" descr="http://zakon0.rada.gov.ua/laws/file/imgs/65/p476631n160-37.em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zakon0.rada.gov.ua/laws/file/imgs/65/p476631n160-37.em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поріг чутливості комерційного засобу обліку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i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-го калібру,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/год;</w:t>
            </w:r>
          </w:p>
        </w:tc>
      </w:tr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вузлів комерційного обліку </w:t>
            </w: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i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-го калібру, од.;</w:t>
            </w:r>
          </w:p>
        </w:tc>
      </w:tr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t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i</w:t>
            </w:r>
            <w:proofErr w:type="spell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 роботи комерційного засобу обліку нижче порогу чутливості. За відсутності даних приймається 6 год/добу при цілодобовій подачі гарячої води та 2 год/добу при подачі води за графіком;</w:t>
            </w:r>
          </w:p>
        </w:tc>
      </w:tr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N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діб роботи ЦПГВ за рік, діб;</w:t>
            </w:r>
          </w:p>
        </w:tc>
      </w:tr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K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лічильників, що працюють нижче порогу чутливості. За відсутності даних приймається середньостатистичне значення - 0,1;</w:t>
            </w:r>
          </w:p>
        </w:tc>
      </w:tr>
      <w:tr w:rsidR="00B3414F" w:rsidRPr="00B3414F" w:rsidTr="007D3460"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Q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bscript"/>
                <w:lang w:eastAsia="uk-UA"/>
              </w:rPr>
              <w:t>заг</w:t>
            </w:r>
            <w:proofErr w:type="spell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14F" w:rsidRPr="00B3414F" w:rsidRDefault="00B3414F" w:rsidP="00B3414F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3460" w:rsidRDefault="00B3414F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води, що надійшов до системи ЦПГВ, тис. м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B3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3</w:t>
            </w:r>
            <w:r w:rsidRPr="00B341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/рік.</w:t>
            </w:r>
          </w:p>
          <w:p w:rsidR="007D3460" w:rsidRPr="00B3414F" w:rsidRDefault="007D3460" w:rsidP="00B341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48" w:name="n161"/>
      <w:bookmarkStart w:id="149" w:name="n163"/>
      <w:bookmarkEnd w:id="148"/>
      <w:bookmarkEnd w:id="149"/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Заступник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директора Департаменту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систем життєзабезпечення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B3414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та житлової політики</w:t>
      </w:r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4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В.В. Токаренко</w:t>
      </w:r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1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Методики визначення технологічних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нормативів витрат та втрат гарячої води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у системах централізованого постачання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гарячої води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(пункт 6 розділу ІV)</w:t>
      </w:r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7D3460" w:rsidRPr="007D3460" w:rsidRDefault="007D3460" w:rsidP="007D346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D3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ДОПУСТИМИЙ РІВЕНЬ </w:t>
      </w:r>
      <w:r w:rsidRPr="007D34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7D3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витрати води з нових сталевих трубопроводів завдовжки 1 км (при тиску 60 м вод. ст.)</w:t>
      </w:r>
    </w:p>
    <w:tbl>
      <w:tblPr>
        <w:tblW w:w="5393" w:type="pct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455"/>
        <w:gridCol w:w="3426"/>
        <w:gridCol w:w="4467"/>
        <w:gridCol w:w="1023"/>
      </w:tblGrid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n164"/>
            <w:bookmarkEnd w:id="150"/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Внутрішній діаметр сталевого трубопроводу, мм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Допустимі витрати, л/хв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0,042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0,056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0,112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0,14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0,165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0,196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0,224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0,252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0,28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0,35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0,42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0,56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0,70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0,85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0,90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1,00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1,05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1,10</w:t>
            </w:r>
          </w:p>
        </w:tc>
      </w:tr>
      <w:tr w:rsidR="007D3460" w:rsidRPr="007D3460" w:rsidTr="007D3460">
        <w:trPr>
          <w:gridBefore w:val="1"/>
          <w:gridAfter w:val="1"/>
          <w:wBefore w:w="8" w:type="dxa"/>
          <w:wAfter w:w="1023" w:type="dxa"/>
          <w:trHeight w:val="48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1,20</w:t>
            </w:r>
          </w:p>
        </w:tc>
      </w:tr>
      <w:tr w:rsidR="007D3460" w:rsidRPr="007D3460" w:rsidTr="007D3460">
        <w:tblPrEx>
          <w:shd w:val="clear" w:color="auto" w:fill="FFFFFF"/>
        </w:tblPrEx>
        <w:trPr>
          <w:trHeight w:val="720"/>
        </w:trPr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3460" w:rsidRPr="007D3460" w:rsidRDefault="007D3460" w:rsidP="007D34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__________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Примітки:</w:t>
            </w:r>
          </w:p>
        </w:tc>
        <w:tc>
          <w:tcPr>
            <w:tcW w:w="8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3460" w:rsidRPr="007D3460" w:rsidRDefault="007D3460" w:rsidP="007D34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1. При довжині випробовуваної ділянки сталевого трубопроводу менше 1 км наведені в таблиці допустимі витрати </w:t>
            </w:r>
            <w:proofErr w:type="spellStart"/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підкачуваної</w:t>
            </w:r>
            <w:proofErr w:type="spellEnd"/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води слід множити на його довжину, виражену в км; при довжині понад 1 км допустиму витрату </w:t>
            </w:r>
            <w:proofErr w:type="spellStart"/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підкачуваної</w:t>
            </w:r>
            <w:proofErr w:type="spellEnd"/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води слід приймати як для 1 км.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2. Для ділянок сталевих трубопроводів з внутрішнім діаметром, який відсутній у цій таблиці, визначення допустимих витрат води необхідно виконувати лінійною інтерполяцією або екстраполяцією.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3. Допустимі витрати води з нових сталевих трубопроводів завдовжки 1 км (при тиску 60 м вод. ст.) приймаються згідно з ДСТУ-Н Б В.2.5-68:2012 «Настанова з будівництва, монтажу та контролю якості трубопроводів зовнішніх мереж водопостачання та каналізації».</w:t>
            </w:r>
          </w:p>
        </w:tc>
      </w:tr>
    </w:tbl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151" w:name="n167"/>
      <w:bookmarkEnd w:id="151"/>
    </w:p>
    <w:p w:rsidR="007D3460" w:rsidRDefault="007D3460" w:rsidP="007D3460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Додаток 2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Методики визначення технологічних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нормативів витрат та втрат гарячої води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у системах централізованого постачання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гарячої води </w:t>
      </w:r>
      <w:r w:rsidRPr="007D346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(пункт 6 розділу ІV)</w:t>
      </w:r>
    </w:p>
    <w:p w:rsidR="007D3460" w:rsidRPr="007D3460" w:rsidRDefault="007D3460" w:rsidP="007D346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D3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ЗНАЧЕННЯ </w:t>
      </w:r>
      <w:r w:rsidRPr="007D34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7D3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коефіцієнта К для сталевих трубопроводів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580"/>
        <w:gridCol w:w="1610"/>
        <w:gridCol w:w="1701"/>
        <w:gridCol w:w="1842"/>
        <w:gridCol w:w="1843"/>
        <w:gridCol w:w="417"/>
      </w:tblGrid>
      <w:tr w:rsidR="007D3460" w:rsidRPr="007D3460" w:rsidTr="007D3460">
        <w:trPr>
          <w:gridAfter w:val="1"/>
          <w:wAfter w:w="417" w:type="dxa"/>
          <w:trHeight w:val="48"/>
        </w:trPr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n168"/>
            <w:bookmarkEnd w:id="152"/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експлуатації сталевого трубопроводу, років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&lt;10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21-30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&gt;30</w:t>
            </w:r>
          </w:p>
        </w:tc>
      </w:tr>
      <w:tr w:rsidR="007D3460" w:rsidRPr="007D3460" w:rsidTr="007D3460">
        <w:trPr>
          <w:gridAfter w:val="1"/>
          <w:wAfter w:w="417" w:type="dxa"/>
          <w:trHeight w:val="48"/>
        </w:trPr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460" w:rsidRPr="007D3460" w:rsidRDefault="007D3460" w:rsidP="007D3460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4,4</w:t>
            </w:r>
          </w:p>
        </w:tc>
      </w:tr>
      <w:tr w:rsidR="007D3460" w:rsidRPr="007D3460" w:rsidTr="007D3460">
        <w:trPr>
          <w:trHeight w:val="72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3460" w:rsidRPr="007D3460" w:rsidRDefault="007D3460" w:rsidP="007D34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3" w:name="n169"/>
            <w:bookmarkEnd w:id="153"/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__________</w:t>
            </w: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Примітка.</w:t>
            </w:r>
          </w:p>
        </w:tc>
        <w:tc>
          <w:tcPr>
            <w:tcW w:w="799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D3460" w:rsidRPr="007D3460" w:rsidRDefault="007D3460" w:rsidP="007D34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34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D3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Значення коефіцієнта визначалося на основі статистичних даних експериментальним та розрахунковим методами з врахуванням матеріалу трубопроводу та строку його експлуатації.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4F"/>
    <w:rsid w:val="00284C09"/>
    <w:rsid w:val="007725AF"/>
    <w:rsid w:val="007D3460"/>
    <w:rsid w:val="00B3414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5271"/>
  <w15:chartTrackingRefBased/>
  <w15:docId w15:val="{0FE42D86-C9F5-4872-A9D7-8D6FA4B5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B3414F"/>
  </w:style>
  <w:style w:type="paragraph" w:customStyle="1" w:styleId="msonormal0">
    <w:name w:val="msonormal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B3414F"/>
  </w:style>
  <w:style w:type="paragraph" w:customStyle="1" w:styleId="rvps6">
    <w:name w:val="rvps6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B3414F"/>
  </w:style>
  <w:style w:type="paragraph" w:customStyle="1" w:styleId="rvps7">
    <w:name w:val="rvps7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B3414F"/>
  </w:style>
  <w:style w:type="paragraph" w:customStyle="1" w:styleId="rvps2">
    <w:name w:val="rvps2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B3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414F"/>
    <w:rPr>
      <w:color w:val="800080"/>
      <w:u w:val="single"/>
    </w:rPr>
  </w:style>
  <w:style w:type="character" w:customStyle="1" w:styleId="rvts37">
    <w:name w:val="rvts37"/>
    <w:basedOn w:val="a0"/>
    <w:rsid w:val="00B3414F"/>
  </w:style>
  <w:style w:type="character" w:customStyle="1" w:styleId="rvts40">
    <w:name w:val="rvts40"/>
    <w:basedOn w:val="a0"/>
    <w:rsid w:val="00B3414F"/>
  </w:style>
  <w:style w:type="paragraph" w:customStyle="1" w:styleId="rvps12">
    <w:name w:val="rvps12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B3414F"/>
  </w:style>
  <w:style w:type="character" w:customStyle="1" w:styleId="rvts58">
    <w:name w:val="rvts58"/>
    <w:basedOn w:val="a0"/>
    <w:rsid w:val="00B3414F"/>
  </w:style>
  <w:style w:type="character" w:customStyle="1" w:styleId="rvts80">
    <w:name w:val="rvts80"/>
    <w:basedOn w:val="a0"/>
    <w:rsid w:val="00B3414F"/>
  </w:style>
  <w:style w:type="paragraph" w:customStyle="1" w:styleId="rvps1">
    <w:name w:val="rvps1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">
    <w:name w:val="rvps4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B3414F"/>
  </w:style>
  <w:style w:type="paragraph" w:customStyle="1" w:styleId="rvps15">
    <w:name w:val="rvps15"/>
    <w:basedOn w:val="a"/>
    <w:rsid w:val="00B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7D3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0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1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9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0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7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9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2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2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8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0.rada.gov.ua/laws/file/imgs/65/p476631n73-5.emf" TargetMode="External"/><Relationship Id="rId21" Type="http://schemas.openxmlformats.org/officeDocument/2006/relationships/image" Target="media/image3.png"/><Relationship Id="rId42" Type="http://schemas.openxmlformats.org/officeDocument/2006/relationships/hyperlink" Target="http://zakon0.rada.gov.ua/laws/file/imgs/65/p476631n85-13.emf" TargetMode="External"/><Relationship Id="rId47" Type="http://schemas.openxmlformats.org/officeDocument/2006/relationships/image" Target="media/image16.emf"/><Relationship Id="rId63" Type="http://schemas.openxmlformats.org/officeDocument/2006/relationships/image" Target="media/image24.png"/><Relationship Id="rId68" Type="http://schemas.openxmlformats.org/officeDocument/2006/relationships/hyperlink" Target="http://zakon0.rada.gov.ua/laws/file/imgs/65/p476631n125-26.bmp" TargetMode="External"/><Relationship Id="rId84" Type="http://schemas.openxmlformats.org/officeDocument/2006/relationships/image" Target="media/image33.emf"/><Relationship Id="rId89" Type="http://schemas.openxmlformats.org/officeDocument/2006/relationships/hyperlink" Target="http://zakon0.rada.gov.ua/laws/file/imgs/65/p476631n159-36.bmp" TargetMode="External"/><Relationship Id="rId16" Type="http://schemas.openxmlformats.org/officeDocument/2006/relationships/hyperlink" Target="http://zakon0.rada.gov.ua/laws/file/imgs/65/p476631n49.bmp" TargetMode="External"/><Relationship Id="rId11" Type="http://schemas.openxmlformats.org/officeDocument/2006/relationships/hyperlink" Target="http://zakon0.rada.gov.ua/laws/show/869-2011-%D0%BF" TargetMode="External"/><Relationship Id="rId32" Type="http://schemas.openxmlformats.org/officeDocument/2006/relationships/hyperlink" Target="http://zakon0.rada.gov.ua/laws/file/imgs/65/p476631n75-8.emf" TargetMode="External"/><Relationship Id="rId37" Type="http://schemas.openxmlformats.org/officeDocument/2006/relationships/image" Target="media/image11.png"/><Relationship Id="rId53" Type="http://schemas.openxmlformats.org/officeDocument/2006/relationships/image" Target="media/image19.png"/><Relationship Id="rId58" Type="http://schemas.openxmlformats.org/officeDocument/2006/relationships/hyperlink" Target="http://zakon0.rada.gov.ua/laws/file/imgs/65/p476631n103-21.bmp" TargetMode="External"/><Relationship Id="rId74" Type="http://schemas.openxmlformats.org/officeDocument/2006/relationships/hyperlink" Target="http://zakon0.rada.gov.ua/laws/file/imgs/65/p476631n136-29.bmp" TargetMode="External"/><Relationship Id="rId79" Type="http://schemas.openxmlformats.org/officeDocument/2006/relationships/image" Target="media/image31.png"/><Relationship Id="rId5" Type="http://schemas.openxmlformats.org/officeDocument/2006/relationships/hyperlink" Target="http://zakon0.rada.gov.ua/laws/show/213/95-%D0%B2%D1%80" TargetMode="External"/><Relationship Id="rId90" Type="http://schemas.openxmlformats.org/officeDocument/2006/relationships/image" Target="media/image36.png"/><Relationship Id="rId22" Type="http://schemas.openxmlformats.org/officeDocument/2006/relationships/hyperlink" Target="http://zakon0.rada.gov.ua/laws/file/imgs/65/p476631n73-3.emf" TargetMode="External"/><Relationship Id="rId27" Type="http://schemas.openxmlformats.org/officeDocument/2006/relationships/image" Target="media/image6.emf"/><Relationship Id="rId43" Type="http://schemas.openxmlformats.org/officeDocument/2006/relationships/image" Target="media/image14.emf"/><Relationship Id="rId48" Type="http://schemas.openxmlformats.org/officeDocument/2006/relationships/hyperlink" Target="http://zakon0.rada.gov.ua/laws/file/imgs/65/p476631n87-16.emf" TargetMode="External"/><Relationship Id="rId64" Type="http://schemas.openxmlformats.org/officeDocument/2006/relationships/hyperlink" Target="http://zakon0.rada.gov.ua/laws/file/imgs/65/p476631n120-24.bmp" TargetMode="External"/><Relationship Id="rId69" Type="http://schemas.openxmlformats.org/officeDocument/2006/relationships/image" Target="media/image27.png"/><Relationship Id="rId8" Type="http://schemas.openxmlformats.org/officeDocument/2006/relationships/hyperlink" Target="http://zakon0.rada.gov.ua/laws/show/2479-17" TargetMode="External"/><Relationship Id="rId51" Type="http://schemas.openxmlformats.org/officeDocument/2006/relationships/image" Target="media/image18.png"/><Relationship Id="rId72" Type="http://schemas.openxmlformats.org/officeDocument/2006/relationships/hyperlink" Target="http://zakon0.rada.gov.ua/laws/file/imgs/65/p476631n132-28.bmp" TargetMode="External"/><Relationship Id="rId80" Type="http://schemas.openxmlformats.org/officeDocument/2006/relationships/hyperlink" Target="http://zakon0.rada.gov.ua/laws/file/imgs/65/p476631n142-31.bmp" TargetMode="External"/><Relationship Id="rId85" Type="http://schemas.openxmlformats.org/officeDocument/2006/relationships/hyperlink" Target="http://zakon0.rada.gov.ua/laws/file/imgs/65/p476631n151-34.bmp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zakon0.rada.gov.ua/laws/show/z1062-14/paran21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5.emf"/><Relationship Id="rId33" Type="http://schemas.openxmlformats.org/officeDocument/2006/relationships/image" Target="media/image9.emf"/><Relationship Id="rId38" Type="http://schemas.openxmlformats.org/officeDocument/2006/relationships/hyperlink" Target="http://zakon0.rada.gov.ua/laws/file/imgs/65/p476631n84-11.bmp" TargetMode="External"/><Relationship Id="rId46" Type="http://schemas.openxmlformats.org/officeDocument/2006/relationships/hyperlink" Target="http://zakon0.rada.gov.ua/laws/file/imgs/65/p476631n87-15.emf" TargetMode="External"/><Relationship Id="rId59" Type="http://schemas.openxmlformats.org/officeDocument/2006/relationships/image" Target="media/image22.png"/><Relationship Id="rId67" Type="http://schemas.openxmlformats.org/officeDocument/2006/relationships/image" Target="media/image26.png"/><Relationship Id="rId20" Type="http://schemas.openxmlformats.org/officeDocument/2006/relationships/hyperlink" Target="http://zakon0.rada.gov.ua/laws/file/imgs/65/p476631n72-2.bmp" TargetMode="External"/><Relationship Id="rId41" Type="http://schemas.openxmlformats.org/officeDocument/2006/relationships/image" Target="media/image13.emf"/><Relationship Id="rId54" Type="http://schemas.openxmlformats.org/officeDocument/2006/relationships/hyperlink" Target="http://zakon0.rada.gov.ua/laws/file/imgs/65/p476631n97-19.bmp" TargetMode="External"/><Relationship Id="rId62" Type="http://schemas.openxmlformats.org/officeDocument/2006/relationships/hyperlink" Target="http://zakon0.rada.gov.ua/laws/file/imgs/65/p476631n174-23.bmp" TargetMode="External"/><Relationship Id="rId70" Type="http://schemas.openxmlformats.org/officeDocument/2006/relationships/hyperlink" Target="http://zakon0.rada.gov.ua/laws/file/imgs/65/p476631n129-27.bmp" TargetMode="External"/><Relationship Id="rId75" Type="http://schemas.openxmlformats.org/officeDocument/2006/relationships/image" Target="media/image30.png"/><Relationship Id="rId83" Type="http://schemas.openxmlformats.org/officeDocument/2006/relationships/hyperlink" Target="http://zakon0.rada.gov.ua/laws/file/imgs/65/p476631n147-33.emf" TargetMode="External"/><Relationship Id="rId88" Type="http://schemas.openxmlformats.org/officeDocument/2006/relationships/image" Target="media/image35.png"/><Relationship Id="rId91" Type="http://schemas.openxmlformats.org/officeDocument/2006/relationships/hyperlink" Target="http://zakon0.rada.gov.ua/laws/file/imgs/65/p476631n160-37.emf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0.rada.gov.ua/laws/show/2918-14" TargetMode="External"/><Relationship Id="rId15" Type="http://schemas.openxmlformats.org/officeDocument/2006/relationships/hyperlink" Target="http://zakon0.rada.gov.ua/laws/show/z0197-07" TargetMode="External"/><Relationship Id="rId23" Type="http://schemas.openxmlformats.org/officeDocument/2006/relationships/image" Target="media/image4.emf"/><Relationship Id="rId28" Type="http://schemas.openxmlformats.org/officeDocument/2006/relationships/hyperlink" Target="http://zakon0.rada.gov.ua/laws/file/imgs/65/p476631n74-6.bmp" TargetMode="External"/><Relationship Id="rId36" Type="http://schemas.openxmlformats.org/officeDocument/2006/relationships/hyperlink" Target="http://zakon0.rada.gov.ua/laws/file/imgs/65/p476631n81-10.bmp" TargetMode="External"/><Relationship Id="rId49" Type="http://schemas.openxmlformats.org/officeDocument/2006/relationships/image" Target="media/image17.emf"/><Relationship Id="rId57" Type="http://schemas.openxmlformats.org/officeDocument/2006/relationships/image" Target="media/image21.png"/><Relationship Id="rId10" Type="http://schemas.openxmlformats.org/officeDocument/2006/relationships/hyperlink" Target="http://zakon0.rada.gov.ua/laws/show/2633-15" TargetMode="External"/><Relationship Id="rId31" Type="http://schemas.openxmlformats.org/officeDocument/2006/relationships/image" Target="media/image8.emf"/><Relationship Id="rId44" Type="http://schemas.openxmlformats.org/officeDocument/2006/relationships/hyperlink" Target="http://zakon0.rada.gov.ua/laws/file/imgs/65/p476631n86-14.bmp" TargetMode="External"/><Relationship Id="rId52" Type="http://schemas.openxmlformats.org/officeDocument/2006/relationships/hyperlink" Target="http://zakon0.rada.gov.ua/laws/file/imgs/65/p476631n93-18.bmp" TargetMode="External"/><Relationship Id="rId60" Type="http://schemas.openxmlformats.org/officeDocument/2006/relationships/hyperlink" Target="http://zakon0.rada.gov.ua/laws/file/imgs/65/p476631n114-22.bmp" TargetMode="External"/><Relationship Id="rId65" Type="http://schemas.openxmlformats.org/officeDocument/2006/relationships/image" Target="media/image25.png"/><Relationship Id="rId73" Type="http://schemas.openxmlformats.org/officeDocument/2006/relationships/image" Target="media/image29.png"/><Relationship Id="rId78" Type="http://schemas.openxmlformats.org/officeDocument/2006/relationships/hyperlink" Target="http://zakon0.rada.gov.ua/laws/file/imgs/65/p476631n140-30.bmp" TargetMode="External"/><Relationship Id="rId81" Type="http://schemas.openxmlformats.org/officeDocument/2006/relationships/hyperlink" Target="http://zakon0.rada.gov.ua/laws/file/imgs/65/p476631n145-32.bmp" TargetMode="External"/><Relationship Id="rId86" Type="http://schemas.openxmlformats.org/officeDocument/2006/relationships/image" Target="media/image34.png"/><Relationship Id="rId94" Type="http://schemas.openxmlformats.org/officeDocument/2006/relationships/theme" Target="theme/theme1.xml"/><Relationship Id="rId4" Type="http://schemas.openxmlformats.org/officeDocument/2006/relationships/hyperlink" Target="http://zakon0.rada.gov.ua/laws/show/z0197-07" TargetMode="External"/><Relationship Id="rId9" Type="http://schemas.openxmlformats.org/officeDocument/2006/relationships/hyperlink" Target="http://zakon0.rada.gov.ua/laws/show/2189-19" TargetMode="External"/><Relationship Id="rId13" Type="http://schemas.openxmlformats.org/officeDocument/2006/relationships/hyperlink" Target="http://zakon0.rada.gov.ua/laws/show/z1063-14/paran14" TargetMode="External"/><Relationship Id="rId18" Type="http://schemas.openxmlformats.org/officeDocument/2006/relationships/hyperlink" Target="http://zakon0.rada.gov.ua/laws/file/imgs/65/p476631n52-1.bmp" TargetMode="External"/><Relationship Id="rId39" Type="http://schemas.openxmlformats.org/officeDocument/2006/relationships/image" Target="media/image12.png"/><Relationship Id="rId34" Type="http://schemas.openxmlformats.org/officeDocument/2006/relationships/hyperlink" Target="http://zakon0.rada.gov.ua/laws/file/imgs/65/p476631n78-9.bmp" TargetMode="External"/><Relationship Id="rId50" Type="http://schemas.openxmlformats.org/officeDocument/2006/relationships/hyperlink" Target="http://zakon0.rada.gov.ua/laws/file/imgs/65/p476631n90-17.bmp" TargetMode="External"/><Relationship Id="rId55" Type="http://schemas.openxmlformats.org/officeDocument/2006/relationships/image" Target="media/image20.png"/><Relationship Id="rId76" Type="http://schemas.openxmlformats.org/officeDocument/2006/relationships/hyperlink" Target="http://zakon0.rada.gov.ua/laws/show/z0804-18/print1509541491736302" TargetMode="External"/><Relationship Id="rId7" Type="http://schemas.openxmlformats.org/officeDocument/2006/relationships/hyperlink" Target="http://zakon0.rada.gov.ua/laws/show/2119-19" TargetMode="External"/><Relationship Id="rId71" Type="http://schemas.openxmlformats.org/officeDocument/2006/relationships/image" Target="media/image28.png"/><Relationship Id="rId92" Type="http://schemas.openxmlformats.org/officeDocument/2006/relationships/image" Target="media/image37.emf"/><Relationship Id="rId2" Type="http://schemas.openxmlformats.org/officeDocument/2006/relationships/settings" Target="settings.xml"/><Relationship Id="rId29" Type="http://schemas.openxmlformats.org/officeDocument/2006/relationships/image" Target="media/image7.png"/><Relationship Id="rId24" Type="http://schemas.openxmlformats.org/officeDocument/2006/relationships/hyperlink" Target="http://zakon0.rada.gov.ua/laws/file/imgs/65/p476631n73-4.emf" TargetMode="External"/><Relationship Id="rId40" Type="http://schemas.openxmlformats.org/officeDocument/2006/relationships/hyperlink" Target="http://zakon0.rada.gov.ua/laws/file/imgs/65/p476631n85-12.emf" TargetMode="External"/><Relationship Id="rId45" Type="http://schemas.openxmlformats.org/officeDocument/2006/relationships/image" Target="media/image15.png"/><Relationship Id="rId66" Type="http://schemas.openxmlformats.org/officeDocument/2006/relationships/hyperlink" Target="http://zakon0.rada.gov.ua/laws/file/imgs/65/p476631n122-25.bmp" TargetMode="External"/><Relationship Id="rId87" Type="http://schemas.openxmlformats.org/officeDocument/2006/relationships/hyperlink" Target="http://zakon0.rada.gov.ua/laws/file/imgs/65/p476631n154-35.bmp" TargetMode="External"/><Relationship Id="rId61" Type="http://schemas.openxmlformats.org/officeDocument/2006/relationships/image" Target="media/image23.png"/><Relationship Id="rId82" Type="http://schemas.openxmlformats.org/officeDocument/2006/relationships/image" Target="media/image32.png"/><Relationship Id="rId19" Type="http://schemas.openxmlformats.org/officeDocument/2006/relationships/image" Target="media/image2.png"/><Relationship Id="rId14" Type="http://schemas.openxmlformats.org/officeDocument/2006/relationships/hyperlink" Target="http://zakon0.rada.gov.ua/laws/show/z1064-14/paran14" TargetMode="External"/><Relationship Id="rId30" Type="http://schemas.openxmlformats.org/officeDocument/2006/relationships/hyperlink" Target="http://zakon0.rada.gov.ua/laws/file/imgs/65/p476631n75-7.emf" TargetMode="External"/><Relationship Id="rId35" Type="http://schemas.openxmlformats.org/officeDocument/2006/relationships/image" Target="media/image10.png"/><Relationship Id="rId56" Type="http://schemas.openxmlformats.org/officeDocument/2006/relationships/hyperlink" Target="http://zakon0.rada.gov.ua/laws/file/imgs/65/p476631n100-20.bmp" TargetMode="External"/><Relationship Id="rId77" Type="http://schemas.openxmlformats.org/officeDocument/2006/relationships/hyperlink" Target="http://zakon0.rada.gov.ua/laws/show/z0804-18/print150954149173630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19391</Words>
  <Characters>11054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2018-08-13T12:28:00Z</dcterms:created>
  <dcterms:modified xsi:type="dcterms:W3CDTF">2018-08-13T13:02:00Z</dcterms:modified>
</cp:coreProperties>
</file>